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415C" w14:textId="032D7331" w:rsidR="00CF4F4F" w:rsidRPr="00594CA7"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594CA7">
        <w:rPr>
          <w:rFonts w:asciiTheme="majorHAnsi" w:eastAsiaTheme="majorEastAsia" w:hAnsiTheme="majorHAnsi" w:cstheme="majorBidi"/>
          <w:b/>
          <w:color w:val="5B9BD5" w:themeColor="accent1"/>
          <w:sz w:val="44"/>
          <w:szCs w:val="32"/>
        </w:rPr>
        <w:t>ANAPHYLAXIS POLICY</w:t>
      </w:r>
    </w:p>
    <w:p w14:paraId="096B9808" w14:textId="43F20A04" w:rsidR="0003181C" w:rsidRPr="00594CA7" w:rsidRDefault="00860FC7" w:rsidP="0003181C">
      <w:pPr>
        <w:rPr>
          <w:b/>
          <w:bCs/>
        </w:rPr>
      </w:pPr>
      <w:bookmarkStart w:id="0" w:name="_Toc528849074"/>
      <w:r w:rsidRPr="00594CA7">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594CA7">
        <w:rPr>
          <w:b/>
          <w:bCs/>
        </w:rPr>
        <w:t xml:space="preserve">Help for non-English </w:t>
      </w:r>
      <w:proofErr w:type="gramStart"/>
      <w:r w:rsidR="0003181C" w:rsidRPr="00594CA7">
        <w:rPr>
          <w:b/>
          <w:bCs/>
        </w:rPr>
        <w:t>speakers</w:t>
      </w:r>
      <w:proofErr w:type="gramEnd"/>
    </w:p>
    <w:p w14:paraId="7FB41084" w14:textId="3B29669F" w:rsidR="0003181C" w:rsidRPr="00727FA0" w:rsidRDefault="0003181C" w:rsidP="0003181C">
      <w:r w:rsidRPr="00594CA7">
        <w:t xml:space="preserve">If you need help to understand the information in this </w:t>
      </w:r>
      <w:proofErr w:type="gramStart"/>
      <w:r w:rsidRPr="00594CA7">
        <w:t>policy</w:t>
      </w:r>
      <w:proofErr w:type="gramEnd"/>
      <w:r w:rsidRPr="00594CA7">
        <w:t xml:space="preserve"> please contact </w:t>
      </w:r>
      <w:r w:rsidR="00594CA7">
        <w:t>Manangatang P-12 College on 03 5035 1270</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2053B831" w:rsidR="00306B3C" w:rsidRPr="00727D85" w:rsidRDefault="00306B3C" w:rsidP="004F6C4D">
      <w:pPr>
        <w:jc w:val="both"/>
      </w:pPr>
      <w:r w:rsidRPr="00727D85">
        <w:t xml:space="preserve">To explain to </w:t>
      </w:r>
      <w:r w:rsidR="00594CA7">
        <w:t>Manangatang P-12 College</w:t>
      </w:r>
      <w:r w:rsidRPr="00727D85">
        <w:t xml:space="preserve"> parents, </w:t>
      </w:r>
      <w:r w:rsidR="000B255E" w:rsidRPr="00727D85">
        <w:t xml:space="preserve">carers, </w:t>
      </w:r>
      <w:proofErr w:type="gramStart"/>
      <w:r w:rsidRPr="00727D85">
        <w:t>staff</w:t>
      </w:r>
      <w:proofErr w:type="gramEnd"/>
      <w:r w:rsidRPr="00727D85">
        <w:t xml:space="preserve">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594CA7">
        <w:t>Manangatang P-12 College</w:t>
      </w:r>
      <w:r w:rsidR="00594CA7" w:rsidRPr="00727D85">
        <w:t xml:space="preserve"> </w:t>
      </w:r>
      <w:r w:rsidRPr="00727D85">
        <w:rPr>
          <w:rFonts w:cstheme="minorHAnsi"/>
        </w:rPr>
        <w:t>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655DF7E6" w:rsidR="00BF2EB2" w:rsidRPr="00727D85" w:rsidRDefault="00594CA7" w:rsidP="004F6C4D">
      <w:pPr>
        <w:jc w:val="both"/>
      </w:pPr>
      <w:r>
        <w:t>Manangatang P-12 College</w:t>
      </w:r>
      <w:r w:rsidRPr="00727D85">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lastRenderedPageBreak/>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15A50FDD"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594CA7">
        <w:t>Manangatang P-12 College</w:t>
      </w:r>
      <w:r w:rsidR="00594CA7"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594CA7">
        <w:t>Manangatang P-12 College</w:t>
      </w:r>
      <w:r w:rsidR="00594CA7" w:rsidRPr="00727D85">
        <w:t xml:space="preserve"> </w:t>
      </w:r>
      <w:r w:rsidR="005E7F3C" w:rsidRPr="00727D85">
        <w:t xml:space="preserve">is responsible for developing </w:t>
      </w:r>
      <w:r w:rsidR="0056049E" w:rsidRPr="00727D85">
        <w:t>a plan in consultat</w:t>
      </w:r>
      <w:r w:rsidR="00E930A0" w:rsidRPr="00727D85">
        <w:t xml:space="preserve">ion with the student’s parents/carers. </w:t>
      </w:r>
    </w:p>
    <w:p w14:paraId="09E7CE1B" w14:textId="53332201" w:rsidR="00433A50" w:rsidRPr="00727D85" w:rsidRDefault="00433A50" w:rsidP="004F6C4D">
      <w:pPr>
        <w:jc w:val="both"/>
      </w:pPr>
      <w:r w:rsidRPr="00727D85">
        <w:t xml:space="preserve">Where necessary, an Individual Anaphylaxis Management Plan will be in place as soon as practicable after a student enrols at </w:t>
      </w:r>
      <w:r w:rsidR="00594CA7">
        <w:t>Manangatang P-12 College</w:t>
      </w:r>
      <w:r w:rsidR="00594CA7" w:rsidRPr="00727D85">
        <w:t xml:space="preserve"> </w:t>
      </w:r>
      <w:r w:rsidRPr="00727D85">
        <w:t xml:space="preserve">and where </w:t>
      </w:r>
      <w:proofErr w:type="gramStart"/>
      <w:r w:rsidRPr="00727D85">
        <w:t>possible, before</w:t>
      </w:r>
      <w:proofErr w:type="gramEnd"/>
      <w:r w:rsidRPr="00727D85">
        <w:t xml:space="preserv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lastRenderedPageBreak/>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768404E3" w14:textId="3732026D" w:rsidR="00C01909" w:rsidRPr="00727D85" w:rsidRDefault="00B21536" w:rsidP="004F6C4D">
      <w:pPr>
        <w:tabs>
          <w:tab w:val="num" w:pos="170"/>
        </w:tabs>
        <w:spacing w:after="180" w:line="240" w:lineRule="auto"/>
        <w:ind w:left="720"/>
        <w:jc w:val="both"/>
        <w:rPr>
          <w:i/>
        </w:rPr>
      </w:pPr>
      <w:r w:rsidRPr="00594CA7">
        <w:rPr>
          <w:i/>
        </w:rPr>
        <w:t xml:space="preserve">A copy of each student’s Individual Anaphylaxis Management Plan will be stored with their ASCIA Action Plan for Anaphylaxis at </w:t>
      </w:r>
      <w:r w:rsidR="00594CA7" w:rsidRPr="00594CA7">
        <w:rPr>
          <w:i/>
        </w:rPr>
        <w:t>the front office and the staff room</w:t>
      </w:r>
      <w:r w:rsidRPr="00594CA7">
        <w:rPr>
          <w:i/>
        </w:rPr>
        <w:t>.</w:t>
      </w:r>
      <w:r w:rsidR="005C1A59" w:rsidRPr="00594CA7">
        <w:rPr>
          <w:i/>
        </w:rPr>
        <w:t xml:space="preserve"> Whilst some students keep their adrenaline autoinjector on their person, med</w:t>
      </w:r>
      <w:r w:rsidR="00110FEA" w:rsidRPr="00594CA7">
        <w:rPr>
          <w:i/>
        </w:rPr>
        <w:t>ication for those that do not will be</w:t>
      </w:r>
      <w:r w:rsidR="005C1A59" w:rsidRPr="00594CA7">
        <w:rPr>
          <w:i/>
        </w:rPr>
        <w:t xml:space="preserve"> stored and labelled with their name at </w:t>
      </w:r>
      <w:r w:rsidR="00594CA7" w:rsidRPr="00594CA7">
        <w:rPr>
          <w:i/>
        </w:rPr>
        <w:t>the staff room</w:t>
      </w:r>
      <w:r w:rsidR="005C1A59" w:rsidRPr="00594CA7">
        <w:rPr>
          <w:i/>
        </w:rPr>
        <w:t>, together with adrenaline autoinjectors for general use.</w:t>
      </w:r>
      <w:r w:rsidR="005C1A59" w:rsidRPr="00727D85">
        <w:rPr>
          <w:i/>
        </w:rPr>
        <w:t xml:space="preserv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0A9A31EA" w:rsidR="00D23A7C" w:rsidRPr="00594CA7" w:rsidRDefault="00D23A7C" w:rsidP="004F6C4D">
      <w:pPr>
        <w:tabs>
          <w:tab w:val="num" w:pos="170"/>
        </w:tabs>
        <w:spacing w:after="84" w:line="240" w:lineRule="auto"/>
        <w:ind w:left="720"/>
        <w:jc w:val="both"/>
        <w:rPr>
          <w:i/>
        </w:rPr>
      </w:pPr>
      <w:r w:rsidRPr="00594CA7">
        <w:rPr>
          <w:i/>
        </w:rPr>
        <w:t xml:space="preserve">To reduce the risk of a student suffering from an anaphylactic reaction at </w:t>
      </w:r>
      <w:r w:rsidR="00594CA7" w:rsidRPr="00594CA7">
        <w:t>Manangatang P-12 College</w:t>
      </w:r>
      <w:r w:rsidRPr="00594CA7">
        <w:rPr>
          <w:i/>
        </w:rPr>
        <w:t>, we have put in place the following strategies:</w:t>
      </w:r>
    </w:p>
    <w:p w14:paraId="2145C712" w14:textId="3C08DDCB" w:rsidR="00D23A7C"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s</w:t>
      </w:r>
      <w:r w:rsidR="00D23A7C" w:rsidRPr="00594CA7">
        <w:rPr>
          <w:rFonts w:eastAsia="Times New Roman" w:cstheme="minorHAnsi"/>
          <w:i/>
          <w:color w:val="000000"/>
        </w:rPr>
        <w:t xml:space="preserve">taff and students are regularly reminded to wash their hands after </w:t>
      </w:r>
      <w:proofErr w:type="gramStart"/>
      <w:r w:rsidR="00D23A7C" w:rsidRPr="00594CA7">
        <w:rPr>
          <w:rFonts w:eastAsia="Times New Roman" w:cstheme="minorHAnsi"/>
          <w:i/>
          <w:color w:val="000000"/>
        </w:rPr>
        <w:t>eating</w:t>
      </w:r>
      <w:r w:rsidR="004D4E07" w:rsidRPr="00594CA7">
        <w:rPr>
          <w:rFonts w:eastAsia="Times New Roman" w:cstheme="minorHAnsi"/>
          <w:i/>
          <w:color w:val="000000"/>
        </w:rPr>
        <w:t>;</w:t>
      </w:r>
      <w:proofErr w:type="gramEnd"/>
    </w:p>
    <w:p w14:paraId="7609390F" w14:textId="2FDDA186" w:rsidR="00D23A7C"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s</w:t>
      </w:r>
      <w:r w:rsidR="00D23A7C" w:rsidRPr="00594CA7">
        <w:rPr>
          <w:rFonts w:eastAsia="Times New Roman" w:cstheme="minorHAnsi"/>
          <w:i/>
          <w:color w:val="000000"/>
        </w:rPr>
        <w:t>tudents are discouraged from sharing food</w:t>
      </w:r>
    </w:p>
    <w:p w14:paraId="0EED8E89" w14:textId="61B7A2FB" w:rsidR="00D23A7C"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g</w:t>
      </w:r>
      <w:r w:rsidR="00D23A7C" w:rsidRPr="00594CA7">
        <w:rPr>
          <w:rFonts w:eastAsia="Times New Roman" w:cstheme="minorHAnsi"/>
          <w:i/>
          <w:color w:val="000000"/>
        </w:rPr>
        <w:t xml:space="preserve">arbage bins at school are to remain covered with </w:t>
      </w:r>
      <w:r w:rsidR="006304D4" w:rsidRPr="00594CA7">
        <w:rPr>
          <w:rFonts w:eastAsia="Times New Roman" w:cstheme="minorHAnsi"/>
          <w:i/>
          <w:color w:val="000000"/>
        </w:rPr>
        <w:t>lids to reduce the risk of attracting insects</w:t>
      </w:r>
    </w:p>
    <w:p w14:paraId="5DD019AF" w14:textId="4E152F97" w:rsidR="006304D4"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g</w:t>
      </w:r>
      <w:r w:rsidR="006304D4" w:rsidRPr="00594CA7">
        <w:rPr>
          <w:rFonts w:eastAsia="Times New Roman" w:cstheme="minorHAnsi"/>
          <w:i/>
          <w:color w:val="000000"/>
        </w:rPr>
        <w:t xml:space="preserve">loves must be worn when picking up papers or rubbish in the </w:t>
      </w:r>
      <w:proofErr w:type="gramStart"/>
      <w:r w:rsidR="006304D4" w:rsidRPr="00594CA7">
        <w:rPr>
          <w:rFonts w:eastAsia="Times New Roman" w:cstheme="minorHAnsi"/>
          <w:i/>
          <w:color w:val="000000"/>
        </w:rPr>
        <w:t>playground</w:t>
      </w:r>
      <w:r w:rsidR="004D4E07" w:rsidRPr="00594CA7">
        <w:rPr>
          <w:rFonts w:eastAsia="Times New Roman" w:cstheme="minorHAnsi"/>
          <w:i/>
          <w:color w:val="000000"/>
        </w:rPr>
        <w:t>;</w:t>
      </w:r>
      <w:proofErr w:type="gramEnd"/>
      <w:r w:rsidR="006304D4" w:rsidRPr="00594CA7">
        <w:rPr>
          <w:rFonts w:eastAsia="Times New Roman" w:cstheme="minorHAnsi"/>
          <w:i/>
          <w:color w:val="000000"/>
        </w:rPr>
        <w:t xml:space="preserve"> </w:t>
      </w:r>
    </w:p>
    <w:p w14:paraId="18E8A9BB" w14:textId="648A6659" w:rsidR="006304D4"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y</w:t>
      </w:r>
      <w:r w:rsidR="00A8281F" w:rsidRPr="00594CA7">
        <w:rPr>
          <w:rFonts w:eastAsia="Times New Roman" w:cstheme="minorHAnsi"/>
          <w:i/>
          <w:color w:val="000000"/>
        </w:rPr>
        <w:t xml:space="preserve">ear groups will be informed of allergens that must be avoided in advance of class parties, events or </w:t>
      </w:r>
      <w:proofErr w:type="gramStart"/>
      <w:r w:rsidR="00A8281F" w:rsidRPr="00594CA7">
        <w:rPr>
          <w:rFonts w:eastAsia="Times New Roman" w:cstheme="minorHAnsi"/>
          <w:i/>
          <w:color w:val="000000"/>
        </w:rPr>
        <w:t>birthdays</w:t>
      </w:r>
      <w:proofErr w:type="gramEnd"/>
    </w:p>
    <w:p w14:paraId="01BE9815" w14:textId="2C9DF273" w:rsidR="008F345A" w:rsidRPr="00594CA7"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a</w:t>
      </w:r>
      <w:r w:rsidR="00F37D47" w:rsidRPr="00594CA7">
        <w:rPr>
          <w:rFonts w:eastAsia="Times New Roman" w:cstheme="minorHAnsi"/>
          <w:i/>
          <w:color w:val="000000"/>
        </w:rPr>
        <w:t xml:space="preserve"> general use </w:t>
      </w:r>
      <w:r w:rsidR="00C85D8E" w:rsidRPr="00594CA7">
        <w:rPr>
          <w:rFonts w:eastAsia="Times New Roman" w:cstheme="minorHAnsi"/>
          <w:i/>
          <w:color w:val="000000"/>
        </w:rPr>
        <w:t xml:space="preserve">adrenaline autoinjector </w:t>
      </w:r>
      <w:r w:rsidR="00F37D47" w:rsidRPr="00594CA7">
        <w:rPr>
          <w:rFonts w:eastAsia="Times New Roman" w:cstheme="minorHAnsi"/>
          <w:i/>
          <w:color w:val="000000"/>
        </w:rPr>
        <w:t xml:space="preserve">will be stored at the </w:t>
      </w:r>
      <w:r w:rsidR="00594CA7" w:rsidRPr="00594CA7">
        <w:rPr>
          <w:rFonts w:eastAsia="Times New Roman" w:cstheme="minorHAnsi"/>
          <w:i/>
          <w:color w:val="000000"/>
        </w:rPr>
        <w:t xml:space="preserve">staff </w:t>
      </w:r>
      <w:proofErr w:type="gramStart"/>
      <w:r w:rsidR="00594CA7" w:rsidRPr="00594CA7">
        <w:rPr>
          <w:rFonts w:eastAsia="Times New Roman" w:cstheme="minorHAnsi"/>
          <w:i/>
          <w:color w:val="000000"/>
        </w:rPr>
        <w:t>room</w:t>
      </w:r>
      <w:proofErr w:type="gramEnd"/>
    </w:p>
    <w:p w14:paraId="079D7CFD" w14:textId="67ECE271" w:rsidR="00CD6BF1" w:rsidRPr="00594CA7"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594CA7">
        <w:rPr>
          <w:rFonts w:eastAsia="Times New Roman" w:cstheme="minorHAnsi"/>
          <w:i/>
          <w:color w:val="000000"/>
        </w:rPr>
        <w:t>Planning for off-site activities</w:t>
      </w:r>
      <w:r w:rsidR="0068267A" w:rsidRPr="00594CA7">
        <w:rPr>
          <w:rFonts w:eastAsia="Times New Roman" w:cstheme="minorHAnsi"/>
          <w:i/>
          <w:color w:val="000000"/>
        </w:rPr>
        <w:t xml:space="preserve"> will</w:t>
      </w:r>
      <w:r w:rsidRPr="00594CA7">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1E056043" w:rsidR="00110FEA" w:rsidRPr="00727D85" w:rsidRDefault="00594CA7" w:rsidP="004F6C4D">
      <w:pPr>
        <w:autoSpaceDE w:val="0"/>
        <w:autoSpaceDN w:val="0"/>
        <w:adjustRightInd w:val="0"/>
        <w:spacing w:after="180" w:line="240" w:lineRule="auto"/>
        <w:jc w:val="both"/>
        <w:rPr>
          <w:rFonts w:eastAsia="Times New Roman" w:cstheme="minorHAnsi"/>
          <w:color w:val="000000"/>
        </w:rPr>
      </w:pPr>
      <w:r>
        <w:t>Manangatang P-12 College</w:t>
      </w:r>
      <w:r w:rsidRPr="00727D85">
        <w:t xml:space="preserve"> </w:t>
      </w:r>
      <w:r w:rsidR="00150E6E" w:rsidRPr="00727D85">
        <w:rPr>
          <w:rFonts w:eastAsia="Times New Roman" w:cstheme="minorHAnsi"/>
          <w:color w:val="000000"/>
        </w:rPr>
        <w:t>will maintain a supply of adrenaline autoinjector</w:t>
      </w:r>
      <w:r w:rsidR="00150E6E" w:rsidRPr="00594CA7">
        <w:rPr>
          <w:rFonts w:eastAsia="Times New Roman" w:cstheme="minorHAnsi"/>
          <w:color w:val="000000"/>
        </w:rPr>
        <w:t>(s)</w:t>
      </w:r>
      <w:r w:rsidR="00150E6E" w:rsidRPr="00727D85">
        <w:rPr>
          <w:rFonts w:eastAsia="Times New Roman" w:cstheme="minorHAnsi"/>
          <w:color w:val="000000"/>
        </w:rPr>
        <w:t xml:space="preserve">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54BC360F"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594CA7">
        <w:rPr>
          <w:rFonts w:eastAsia="Times New Roman" w:cstheme="minorHAnsi"/>
          <w:color w:val="000000"/>
        </w:rPr>
        <w:t>the staff room</w:t>
      </w:r>
      <w:r w:rsidRPr="00727D85">
        <w:rPr>
          <w:rFonts w:eastAsia="Times New Roman" w:cstheme="minorHAnsi"/>
          <w:color w:val="000000"/>
        </w:rPr>
        <w:t xml:space="preserve"> and labelled “general use”.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375927C1" w14:textId="7316A1BE"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594CA7">
        <w:t>Manangatang P-12 College</w:t>
      </w:r>
      <w:r w:rsidR="00594CA7" w:rsidRPr="00727D85">
        <w:t xml:space="preserve"> </w:t>
      </w:r>
      <w:r w:rsidRPr="00727D85">
        <w:rPr>
          <w:rFonts w:eastAsia="Times New Roman" w:cstheme="minorHAnsi"/>
          <w:color w:val="000000"/>
        </w:rPr>
        <w:t xml:space="preserve">at risk of </w:t>
      </w:r>
      <w:proofErr w:type="gramStart"/>
      <w:r w:rsidRPr="00727D85">
        <w:rPr>
          <w:rFonts w:eastAsia="Times New Roman" w:cstheme="minorHAnsi"/>
          <w:color w:val="000000"/>
        </w:rPr>
        <w:t>anaphylaxis</w:t>
      </w:r>
      <w:proofErr w:type="gramEnd"/>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lastRenderedPageBreak/>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441DC6BA"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594CA7">
        <w:rPr>
          <w:rFonts w:eastAsia="Times New Roman" w:cstheme="minorHAnsi"/>
          <w:color w:val="000000"/>
        </w:rPr>
        <w:t>front office staff</w:t>
      </w:r>
      <w:r w:rsidRPr="00727D85">
        <w:rPr>
          <w:rFonts w:eastAsia="Times New Roman" w:cstheme="minorHAnsi"/>
          <w:color w:val="000000"/>
        </w:rPr>
        <w:t xml:space="preserve"> and stored at </w:t>
      </w:r>
      <w:r w:rsidR="00594CA7">
        <w:rPr>
          <w:rFonts w:eastAsia="Times New Roman" w:cstheme="minorHAnsi"/>
          <w:color w:val="000000"/>
        </w:rPr>
        <w:t>the front office.</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666D7CAC"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594CA7">
              <w:rPr>
                <w:rFonts w:cstheme="minorHAnsi"/>
              </w:rPr>
              <w:t xml:space="preserve">the staff </w:t>
            </w:r>
            <w:proofErr w:type="gramStart"/>
            <w:r w:rsidR="00594CA7">
              <w:rPr>
                <w:rFonts w:cstheme="minorHAnsi"/>
              </w:rPr>
              <w:t>room</w:t>
            </w:r>
            <w:proofErr w:type="gramEnd"/>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4785272A" w:rsidR="00591410" w:rsidRPr="003C6800" w:rsidRDefault="00591410" w:rsidP="00591410">
            <w:pPr>
              <w:pStyle w:val="ListParagraph"/>
              <w:numPr>
                <w:ilvl w:val="0"/>
                <w:numId w:val="27"/>
              </w:numPr>
              <w:jc w:val="both"/>
              <w:rPr>
                <w:rFonts w:cstheme="minorHAnsi"/>
              </w:rPr>
            </w:pPr>
            <w:r w:rsidRPr="003C6800">
              <w:rPr>
                <w:rFonts w:cstheme="minorHAnsi"/>
              </w:rPr>
              <w:t xml:space="preserve">Press red button so it clicks and hold for </w:t>
            </w:r>
            <w:r w:rsidR="00EA46A8">
              <w:rPr>
                <w:rFonts w:cstheme="minorHAnsi"/>
              </w:rPr>
              <w:t>3</w:t>
            </w:r>
            <w:r w:rsidRPr="003C6800">
              <w:rPr>
                <w:rFonts w:cstheme="minorHAnsi"/>
              </w:rPr>
              <w:t xml:space="preserve"> </w:t>
            </w:r>
            <w:proofErr w:type="gramStart"/>
            <w:r w:rsidRPr="003C6800">
              <w:rPr>
                <w:rFonts w:cstheme="minorHAnsi"/>
              </w:rPr>
              <w:t>seconds</w:t>
            </w:r>
            <w:proofErr w:type="gramEnd"/>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proofErr w:type="spellStart"/>
            <w:r w:rsidR="00034B9D">
              <w:rPr>
                <w:rFonts w:cstheme="minorHAnsi"/>
              </w:rPr>
              <w:t>Anapen</w:t>
            </w:r>
            <w:proofErr w:type="spellEnd"/>
            <w:r w:rsidR="00034B9D">
              <w:rPr>
                <w:rFonts w:cstheme="minorHAnsi"/>
              </w:rPr>
              <w:t xml:space="preserve">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lastRenderedPageBreak/>
              <w:t xml:space="preserve">Retain the used </w:t>
            </w:r>
            <w:proofErr w:type="spellStart"/>
            <w:r w:rsidR="00034B9D" w:rsidRPr="00BB4320">
              <w:rPr>
                <w:rFonts w:cstheme="minorHAnsi"/>
              </w:rPr>
              <w:t>Anapen</w:t>
            </w:r>
            <w:proofErr w:type="spellEnd"/>
            <w:r w:rsidR="00034B9D" w:rsidRPr="00BB4320">
              <w:rPr>
                <w:rFonts w:cstheme="minorHAnsi"/>
              </w:rPr>
              <w:t xml:space="preserve">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 xml:space="preserve">If there is no improvement or severe symptoms progress (as described in the ASCIA Action Plan for Anaphylaxis), further adrenaline doses may be administered every five </w:t>
            </w:r>
            <w:proofErr w:type="gramStart"/>
            <w:r w:rsidRPr="00727D85">
              <w:rPr>
                <w:rFonts w:cstheme="minorHAnsi"/>
              </w:rPr>
              <w:t>minutes, if</w:t>
            </w:r>
            <w:proofErr w:type="gramEnd"/>
            <w:r w:rsidRPr="00727D85">
              <w:rPr>
                <w:rFonts w:cstheme="minorHAnsi"/>
              </w:rPr>
              <w:t xml:space="preserve">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5521B271" w14:textId="7CF5A92F" w:rsidR="00211A00" w:rsidRPr="00727D85" w:rsidRDefault="004B3F60" w:rsidP="004F6C4D">
      <w:pPr>
        <w:spacing w:after="84" w:line="240" w:lineRule="auto"/>
        <w:jc w:val="both"/>
        <w:rPr>
          <w:b/>
          <w:color w:val="000000" w:themeColor="text1"/>
        </w:rPr>
      </w:pPr>
      <w:r w:rsidRPr="00594CA7">
        <w:rPr>
          <w:rFonts w:eastAsia="Times New Roman" w:cstheme="minorHAnsi"/>
          <w:color w:val="000000"/>
        </w:rPr>
        <w:t xml:space="preserve">Note: </w:t>
      </w:r>
      <w:r w:rsidR="00172FF7" w:rsidRPr="00594CA7">
        <w:rPr>
          <w:rFonts w:eastAsia="Times New Roman" w:cstheme="minorHAnsi"/>
          <w:color w:val="000000"/>
        </w:rPr>
        <w:t>If in doubt, it is better to use an adrenaline autoinjector than not use it, even if in hindsight the reaction is not anaphylaxis. Under-treatment of anaphylaxis is more harmful and potentially life threatening than over</w:t>
      </w:r>
      <w:r w:rsidR="00E40F5C" w:rsidRPr="00594CA7">
        <w:rPr>
          <w:rFonts w:eastAsia="Times New Roman" w:cstheme="minorHAnsi"/>
          <w:color w:val="000000"/>
        </w:rPr>
        <w:t>-</w:t>
      </w:r>
      <w:r w:rsidR="00172FF7" w:rsidRPr="00594CA7">
        <w:rPr>
          <w:rFonts w:eastAsia="Times New Roman" w:cstheme="minorHAnsi"/>
          <w:color w:val="000000"/>
        </w:rPr>
        <w:t>treatment of a mild to moderate allergic reaction.</w:t>
      </w:r>
      <w:r w:rsidRPr="00594CA7">
        <w:rPr>
          <w:rFonts w:eastAsia="Times New Roman" w:cstheme="minorHAnsi"/>
          <w:color w:val="000000"/>
        </w:rPr>
        <w:t xml:space="preserve"> </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568910F9" w:rsidR="00531FC4" w:rsidRPr="00727D85" w:rsidRDefault="004B3F60" w:rsidP="004F6C4D">
      <w:pPr>
        <w:jc w:val="both"/>
      </w:pPr>
      <w:r w:rsidRPr="00727D85">
        <w:t xml:space="preserve">This policy </w:t>
      </w:r>
      <w:r w:rsidRPr="00594CA7">
        <w:t xml:space="preserve">will be available on </w:t>
      </w:r>
      <w:r w:rsidR="00594CA7" w:rsidRPr="00594CA7">
        <w:t>Manangatang P-12 College</w:t>
      </w:r>
      <w:r w:rsidR="00594CA7" w:rsidRPr="00594CA7">
        <w:t xml:space="preserve">’s </w:t>
      </w:r>
      <w:r w:rsidRPr="00594CA7">
        <w:t xml:space="preserve">website so that parents and other members of the school community can easily access information about </w:t>
      </w:r>
      <w:r w:rsidR="00594CA7" w:rsidRPr="00594CA7">
        <w:t>Manangatang P-12 College</w:t>
      </w:r>
      <w:r w:rsidR="00594CA7" w:rsidRPr="00594CA7">
        <w:t xml:space="preserve">’s </w:t>
      </w:r>
      <w:r w:rsidRPr="00594CA7">
        <w:t xml:space="preserve">anaphylaxis management procedures. </w:t>
      </w:r>
      <w:r w:rsidR="00D83DB7" w:rsidRPr="00594CA7">
        <w:t>The</w:t>
      </w:r>
      <w:r w:rsidR="00D83DB7" w:rsidRPr="00727D85">
        <w:t xml:space="preserve"> parents and carers of students who are enrolled at </w:t>
      </w:r>
      <w:r w:rsidR="00594CA7">
        <w:t>Manangatang P-12 College</w:t>
      </w:r>
      <w:r w:rsidR="00594CA7" w:rsidRPr="00727D85">
        <w:t xml:space="preserve"> </w:t>
      </w:r>
      <w:r w:rsidR="00D83DB7" w:rsidRPr="00727D85">
        <w:t xml:space="preserve">and are identified as being at risk of anaphylaxis will also be provided with a copy of this policy. </w:t>
      </w:r>
    </w:p>
    <w:p w14:paraId="50F1A4D0" w14:textId="6F071470" w:rsidR="00F51977" w:rsidRDefault="00531FC4" w:rsidP="004F6C4D">
      <w:pPr>
        <w:jc w:val="both"/>
        <w:rPr>
          <w:highlight w:val="yellow"/>
        </w:rPr>
      </w:pPr>
      <w:r w:rsidRPr="00727D85">
        <w:t>The</w:t>
      </w:r>
      <w:r w:rsidR="008C2612">
        <w:t xml:space="preserve"> </w:t>
      </w:r>
      <w:proofErr w:type="gramStart"/>
      <w:r w:rsidR="00321F97">
        <w:t>P</w:t>
      </w:r>
      <w:r w:rsidR="008C2612">
        <w:t>rincipal</w:t>
      </w:r>
      <w:proofErr w:type="gramEnd"/>
      <w:r w:rsidRPr="00727D85">
        <w:t xml:space="preserve"> is responsible for ensuring that all relevant staff, including casual relief staff</w:t>
      </w:r>
      <w:r w:rsidR="00F471B4">
        <w:t>, canteen staff</w:t>
      </w:r>
      <w:r w:rsidRPr="00727D85">
        <w:t xml:space="preserve"> and volunteers are aware of this policy </w:t>
      </w:r>
      <w:r w:rsidR="00594CA7">
        <w:t xml:space="preserve">and </w:t>
      </w:r>
      <w:r w:rsidR="00594CA7">
        <w:t>Manangatang P-12 College</w:t>
      </w:r>
      <w:r w:rsidR="00594CA7">
        <w:t>’s</w:t>
      </w:r>
      <w:r w:rsidR="00594CA7" w:rsidRPr="00727D85">
        <w:t xml:space="preserve"> </w:t>
      </w:r>
      <w:r w:rsidRPr="00C927A2">
        <w:t xml:space="preserve">procedures for </w:t>
      </w:r>
      <w:r w:rsidR="00521B0E" w:rsidRPr="00C927A2">
        <w:t>anaphylaxis management</w:t>
      </w:r>
      <w:r w:rsidRPr="00C927A2">
        <w:t>.</w:t>
      </w:r>
      <w:r w:rsidRPr="00727D85">
        <w:t xml:space="preserve"> </w:t>
      </w:r>
      <w:r w:rsidR="00D83DB7" w:rsidRPr="00594CA7">
        <w:t>Casual relief staff and volunteers who are responsible for the care and/or supervision of students who are identified as being at risk of anaphylaxis will also receive a verbal briefing on this policy</w:t>
      </w:r>
      <w:r w:rsidR="00380A93" w:rsidRPr="00594CA7">
        <w:t xml:space="preserve">, </w:t>
      </w:r>
      <w:r w:rsidR="009873E4" w:rsidRPr="00594CA7">
        <w:t>their role in responding to an a</w:t>
      </w:r>
      <w:r w:rsidR="00380A93" w:rsidRPr="00594CA7">
        <w:t xml:space="preserve">naphylactic reaction and where required, the </w:t>
      </w:r>
      <w:r w:rsidR="00C927A2" w:rsidRPr="00594CA7">
        <w:t>identity</w:t>
      </w:r>
      <w:r w:rsidR="00380A93" w:rsidRPr="00594CA7">
        <w:t xml:space="preserve"> of students at risk</w:t>
      </w:r>
      <w:r w:rsidR="00D83DB7" w:rsidRPr="00594CA7">
        <w:t>.</w:t>
      </w:r>
    </w:p>
    <w:p w14:paraId="1E5C23E2" w14:textId="59031A05"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3"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proofErr w:type="gramStart"/>
      <w:r w:rsidR="00321F97">
        <w:t>P</w:t>
      </w:r>
      <w:r w:rsidRPr="00B15CF7">
        <w:t>rincipal</w:t>
      </w:r>
      <w:proofErr w:type="gramEnd"/>
      <w:r w:rsidRPr="00B15CF7">
        <w:t xml:space="preserve">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32625FD1" w:rsidR="00B15CF7" w:rsidRPr="00FA4A2F" w:rsidRDefault="00B15CF7" w:rsidP="00B15CF7">
      <w:pPr>
        <w:pStyle w:val="ListBullet"/>
        <w:spacing w:after="120"/>
        <w:rPr>
          <w:rFonts w:asciiTheme="minorHAnsi" w:eastAsiaTheme="minorHAnsi" w:hAnsiTheme="minorHAnsi" w:cstheme="minorBidi"/>
          <w:color w:val="auto"/>
          <w:sz w:val="22"/>
          <w:szCs w:val="22"/>
        </w:rPr>
      </w:pPr>
      <w:r w:rsidRPr="00594CA7">
        <w:rPr>
          <w:rFonts w:asciiTheme="minorHAnsi" w:eastAsiaTheme="minorHAnsi" w:hAnsiTheme="minorHAnsi" w:cstheme="minorBidi"/>
          <w:color w:val="auto"/>
          <w:sz w:val="22"/>
          <w:szCs w:val="22"/>
        </w:rPr>
        <w:t xml:space="preserve">School staff who </w:t>
      </w:r>
      <w:r w:rsidR="006E18C7" w:rsidRPr="00594CA7">
        <w:rPr>
          <w:rFonts w:asciiTheme="minorHAnsi" w:eastAsiaTheme="minorHAnsi" w:hAnsiTheme="minorHAnsi" w:cstheme="minorBidi"/>
          <w:color w:val="auto"/>
          <w:sz w:val="22"/>
          <w:szCs w:val="22"/>
        </w:rPr>
        <w:t>conduct</w:t>
      </w:r>
      <w:r w:rsidRPr="00594CA7">
        <w:rPr>
          <w:rFonts w:asciiTheme="minorHAnsi" w:eastAsiaTheme="minorHAnsi" w:hAnsiTheme="minorHAnsi" w:cstheme="minorBidi"/>
          <w:color w:val="auto"/>
          <w:sz w:val="22"/>
          <w:szCs w:val="22"/>
        </w:rPr>
        <w:t xml:space="preserve"> </w:t>
      </w:r>
      <w:r w:rsidR="006E18C7" w:rsidRPr="00594CA7">
        <w:rPr>
          <w:rFonts w:asciiTheme="minorHAnsi" w:eastAsiaTheme="minorHAnsi" w:hAnsiTheme="minorHAnsi" w:cstheme="minorBidi"/>
          <w:color w:val="auto"/>
          <w:sz w:val="22"/>
          <w:szCs w:val="22"/>
        </w:rPr>
        <w:t>specialist</w:t>
      </w:r>
      <w:r w:rsidRPr="00594CA7">
        <w:rPr>
          <w:rFonts w:asciiTheme="minorHAnsi" w:eastAsiaTheme="minorHAnsi" w:hAnsiTheme="minorHAnsi" w:cstheme="minorBidi"/>
          <w:color w:val="auto"/>
          <w:sz w:val="22"/>
          <w:szCs w:val="22"/>
        </w:rPr>
        <w:t xml:space="preserve"> classes, admin staff, first aiders and any other member of school staff as required by the </w:t>
      </w:r>
      <w:proofErr w:type="gramStart"/>
      <w:r w:rsidR="00321F97" w:rsidRPr="00594CA7">
        <w:rPr>
          <w:rFonts w:asciiTheme="minorHAnsi" w:eastAsiaTheme="minorHAnsi" w:hAnsiTheme="minorHAnsi" w:cstheme="minorBidi"/>
          <w:color w:val="auto"/>
          <w:sz w:val="22"/>
          <w:szCs w:val="22"/>
        </w:rPr>
        <w:t>P</w:t>
      </w:r>
      <w:r w:rsidRPr="00594CA7">
        <w:rPr>
          <w:rFonts w:asciiTheme="minorHAnsi" w:eastAsiaTheme="minorHAnsi" w:hAnsiTheme="minorHAnsi" w:cstheme="minorBidi"/>
          <w:color w:val="auto"/>
          <w:sz w:val="22"/>
          <w:szCs w:val="22"/>
        </w:rPr>
        <w:t>rincipal</w:t>
      </w:r>
      <w:proofErr w:type="gramEnd"/>
      <w:r w:rsidR="00FA4A2F" w:rsidRPr="00594CA7">
        <w:rPr>
          <w:rFonts w:asciiTheme="minorHAnsi" w:eastAsiaTheme="minorHAnsi" w:hAnsiTheme="minorHAnsi" w:cstheme="minorBidi"/>
          <w:color w:val="auto"/>
          <w:sz w:val="22"/>
          <w:szCs w:val="22"/>
        </w:rPr>
        <w:t xml:space="preserve"> based</w:t>
      </w:r>
      <w:r w:rsidR="00FA4A2F">
        <w:rPr>
          <w:rFonts w:asciiTheme="minorHAnsi" w:eastAsiaTheme="minorHAnsi" w:hAnsiTheme="minorHAnsi" w:cstheme="minorBidi"/>
          <w:color w:val="auto"/>
          <w:sz w:val="22"/>
          <w:szCs w:val="22"/>
        </w:rPr>
        <w:t xml:space="preserve"> on a risk assessment</w:t>
      </w:r>
      <w:r w:rsidRPr="00FA4A2F">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088C8BF9" w:rsidR="004F6C4D" w:rsidRPr="00727D85" w:rsidRDefault="00594CA7" w:rsidP="004F6C4D">
      <w:pPr>
        <w:jc w:val="both"/>
      </w:pPr>
      <w:r>
        <w:lastRenderedPageBreak/>
        <w:t>Manangatang P-12 College</w:t>
      </w:r>
      <w:r w:rsidRPr="00727D85">
        <w:t xml:space="preserve"> </w:t>
      </w:r>
      <w:r w:rsidR="004F6C4D" w:rsidRPr="00594CA7">
        <w:t xml:space="preserve">uses the following training course </w:t>
      </w:r>
      <w:r>
        <w:t>with Rich River First Aid – HLTAID003</w:t>
      </w:r>
    </w:p>
    <w:p w14:paraId="1D20C7E9" w14:textId="0DA1FEDA" w:rsidR="00594CA7" w:rsidRDefault="00531FC4" w:rsidP="00594CA7">
      <w:pPr>
        <w:jc w:val="both"/>
      </w:pPr>
      <w:r w:rsidRPr="00594CA7">
        <w:t>Note,</w:t>
      </w:r>
      <w:r w:rsidR="00EA2163" w:rsidRPr="00594CA7">
        <w:t xml:space="preserve"> for details about </w:t>
      </w:r>
      <w:r w:rsidR="0096297C" w:rsidRPr="00594CA7">
        <w:t>approved</w:t>
      </w:r>
      <w:r w:rsidR="00EA2163" w:rsidRPr="00594CA7">
        <w:t xml:space="preserve"> staff training</w:t>
      </w:r>
      <w:r w:rsidR="0096297C" w:rsidRPr="00594CA7">
        <w:t xml:space="preserve"> modules</w:t>
      </w:r>
      <w:r w:rsidR="00EA2163" w:rsidRPr="00594CA7">
        <w:t>,</w:t>
      </w:r>
      <w:r w:rsidRPr="00594CA7">
        <w:t xml:space="preserve"> </w:t>
      </w:r>
      <w:r w:rsidR="002E0FCA" w:rsidRPr="00594CA7">
        <w:t>refer to chapter 5</w:t>
      </w:r>
      <w:r w:rsidRPr="00594CA7">
        <w:t xml:space="preserve"> of the </w:t>
      </w:r>
      <w:hyperlink r:id="rId14" w:history="1">
        <w:r w:rsidRPr="00594CA7">
          <w:rPr>
            <w:rStyle w:val="Hyperlink"/>
          </w:rPr>
          <w:t>Anaphylaxis Guidelines</w:t>
        </w:r>
      </w:hyperlink>
    </w:p>
    <w:p w14:paraId="3BA518C8" w14:textId="24A3E95E" w:rsidR="00D7249B" w:rsidRPr="00727D85" w:rsidRDefault="0096297C" w:rsidP="00594CA7">
      <w:pPr>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00594CA7">
        <w:t xml:space="preserve">the </w:t>
      </w:r>
      <w:proofErr w:type="gramStart"/>
      <w:r w:rsidR="00594CA7">
        <w:t>Principal</w:t>
      </w:r>
      <w:proofErr w:type="gramEnd"/>
      <w:r w:rsidR="00594CA7">
        <w:t xml:space="preserve">.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108E9235" w:rsidR="00D83DB7" w:rsidRDefault="00D83DB7" w:rsidP="004F6C4D">
      <w:pPr>
        <w:tabs>
          <w:tab w:val="num" w:pos="170"/>
        </w:tabs>
        <w:spacing w:after="180" w:line="240" w:lineRule="auto"/>
        <w:jc w:val="both"/>
      </w:pPr>
      <w:r w:rsidRPr="00727D85">
        <w:t xml:space="preserve">When a new student enrols at </w:t>
      </w:r>
      <w:r w:rsidR="00594CA7">
        <w:t>Manangatang P-12 College</w:t>
      </w:r>
      <w:r w:rsidR="00594CA7" w:rsidRPr="00727D85">
        <w:t xml:space="preserve"> </w:t>
      </w:r>
      <w:r w:rsidRPr="00727D85">
        <w:t xml:space="preserve">who is at risk of anaphylaxis, </w:t>
      </w:r>
      <w:r w:rsidR="00A274C5" w:rsidRPr="00727D85">
        <w:t xml:space="preserve">the </w:t>
      </w:r>
      <w:proofErr w:type="gramStart"/>
      <w:r w:rsidR="00321F97">
        <w:t>P</w:t>
      </w:r>
      <w:r w:rsidR="00A274C5" w:rsidRPr="00727D85">
        <w:t>rincipal</w:t>
      </w:r>
      <w:proofErr w:type="gramEnd"/>
      <w:r w:rsidR="00A274C5" w:rsidRPr="00727D85">
        <w:t xml:space="preserve"> will develop an interim plan in consultation with the student’s parents and ensure that appropriate staff are trained and briefed as soon as possible. </w:t>
      </w:r>
    </w:p>
    <w:p w14:paraId="1CE1D817" w14:textId="5AF60B10"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014966">
        <w:t>through the school’s online Emergency Management Plan.</w:t>
      </w:r>
      <w:r>
        <w:t xml:space="preserve"> </w:t>
      </w:r>
    </w:p>
    <w:p w14:paraId="1B6EA8B6" w14:textId="670A1AF0" w:rsidR="00FA4A2F" w:rsidRPr="00774904" w:rsidRDefault="00FA4A2F" w:rsidP="00FA4A2F">
      <w:pPr>
        <w:autoSpaceDE w:val="0"/>
        <w:autoSpaceDN w:val="0"/>
        <w:adjustRightInd w:val="0"/>
        <w:rPr>
          <w:rFonts w:cs="Arial"/>
          <w:szCs w:val="20"/>
        </w:rPr>
      </w:pPr>
      <w:r w:rsidRPr="00774904">
        <w:rPr>
          <w:rFonts w:cs="Arial"/>
          <w:szCs w:val="20"/>
        </w:rPr>
        <w:t xml:space="preserve">The </w:t>
      </w:r>
      <w:proofErr w:type="gramStart"/>
      <w:r w:rsidR="00321F97">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000000" w:rsidP="004F6C4D">
      <w:pPr>
        <w:pStyle w:val="ListParagraph"/>
        <w:numPr>
          <w:ilvl w:val="1"/>
          <w:numId w:val="30"/>
        </w:numPr>
        <w:jc w:val="both"/>
        <w:rPr>
          <w:rFonts w:cstheme="minorHAnsi"/>
        </w:rPr>
      </w:pPr>
      <w:hyperlink r:id="rId15" w:history="1">
        <w:r w:rsidR="00EA2163" w:rsidRPr="00727D85">
          <w:rPr>
            <w:rStyle w:val="Hyperlink"/>
            <w:rFonts w:cstheme="minorHAnsi"/>
          </w:rPr>
          <w:t>Anaphylaxis</w:t>
        </w:r>
      </w:hyperlink>
      <w:r w:rsidR="00EA2163" w:rsidRPr="00727D85">
        <w:rPr>
          <w:rFonts w:cstheme="minorHAnsi"/>
        </w:rPr>
        <w:t xml:space="preserve"> </w:t>
      </w:r>
    </w:p>
    <w:p w14:paraId="7609E4F6" w14:textId="25EE0F75" w:rsidR="00EA2163" w:rsidRPr="00727D85" w:rsidRDefault="00000000" w:rsidP="004F6C4D">
      <w:pPr>
        <w:pStyle w:val="ListParagraph"/>
        <w:numPr>
          <w:ilvl w:val="0"/>
          <w:numId w:val="30"/>
        </w:numPr>
        <w:jc w:val="both"/>
        <w:rPr>
          <w:rFonts w:cstheme="minorHAnsi"/>
        </w:rPr>
      </w:pPr>
      <w:hyperlink r:id="rId16"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7"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8"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3D15498D" w:rsidR="00B542F8" w:rsidRDefault="00014966" w:rsidP="004F6C4D">
      <w:pPr>
        <w:pStyle w:val="ListParagraph"/>
        <w:numPr>
          <w:ilvl w:val="0"/>
          <w:numId w:val="30"/>
        </w:numPr>
        <w:jc w:val="both"/>
        <w:rPr>
          <w:rFonts w:cstheme="minorHAnsi"/>
        </w:rPr>
      </w:pPr>
      <w:r w:rsidRPr="00014966">
        <w:rPr>
          <w:rFonts w:cstheme="minorHAnsi"/>
        </w:rPr>
        <w:t>Related Policies:</w:t>
      </w:r>
      <w:r w:rsidR="00B542F8" w:rsidRPr="00014966">
        <w:rPr>
          <w:lang w:eastAsia="en-AU"/>
        </w:rPr>
        <w:t xml:space="preserve"> Health Care Needs</w:t>
      </w:r>
      <w:r w:rsidRPr="00014966">
        <w:rPr>
          <w:lang w:eastAsia="en-AU"/>
        </w:rPr>
        <w:t>, First</w:t>
      </w:r>
      <w:r>
        <w:rPr>
          <w:lang w:eastAsia="en-AU"/>
        </w:rPr>
        <w:t xml:space="preserve"> Aid, Camps &amp; Excursions</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1"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127228C9" w:rsidR="00715289" w:rsidRPr="00A43728" w:rsidRDefault="00014966"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02/05/2024</w:t>
            </w:r>
            <w:r w:rsidR="00715289" w:rsidRPr="00A43728">
              <w:rPr>
                <w:rFonts w:ascii="Calibri" w:eastAsia="Times New Roman" w:hAnsi="Calibri" w:cs="Times New Roman"/>
                <w:lang w:eastAsia="en-AU"/>
              </w:rPr>
              <w:t> </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6A8E938C" w:rsidR="00715289" w:rsidRPr="00A43728" w:rsidRDefault="00014966"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05/2025</w:t>
            </w:r>
          </w:p>
        </w:tc>
      </w:tr>
      <w:bookmarkEnd w:id="1"/>
    </w:tbl>
    <w:p w14:paraId="14E2DD6A" w14:textId="77777777" w:rsidR="00655DA3" w:rsidRDefault="00655DA3" w:rsidP="004F6C4D">
      <w:pPr>
        <w:jc w:val="both"/>
        <w:rPr>
          <w:rFonts w:cstheme="minorHAnsi"/>
        </w:rPr>
      </w:pPr>
    </w:p>
    <w:p w14:paraId="571916E8" w14:textId="18FCCA30" w:rsidR="00021F57" w:rsidRPr="00727D85"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sectPr w:rsidR="00021F57" w:rsidRPr="00727D8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780B" w14:textId="77777777" w:rsidR="00082B6C" w:rsidRDefault="00082B6C" w:rsidP="00D03F3C">
      <w:pPr>
        <w:spacing w:after="0" w:line="240" w:lineRule="auto"/>
      </w:pPr>
      <w:r>
        <w:separator/>
      </w:r>
    </w:p>
  </w:endnote>
  <w:endnote w:type="continuationSeparator" w:id="0">
    <w:p w14:paraId="06A7D8EA" w14:textId="77777777" w:rsidR="00082B6C" w:rsidRDefault="00082B6C" w:rsidP="00D03F3C">
      <w:pPr>
        <w:spacing w:after="0" w:line="240" w:lineRule="auto"/>
      </w:pPr>
      <w:r>
        <w:continuationSeparator/>
      </w:r>
    </w:p>
  </w:endnote>
  <w:endnote w:type="continuationNotice" w:id="1">
    <w:p w14:paraId="5DE0BD95" w14:textId="77777777" w:rsidR="00082B6C" w:rsidRDefault="00082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4F09" w14:textId="77777777" w:rsidR="00082B6C" w:rsidRDefault="00082B6C" w:rsidP="00D03F3C">
      <w:pPr>
        <w:spacing w:after="0" w:line="240" w:lineRule="auto"/>
      </w:pPr>
      <w:r>
        <w:separator/>
      </w:r>
    </w:p>
  </w:footnote>
  <w:footnote w:type="continuationSeparator" w:id="0">
    <w:p w14:paraId="1D6E55AB" w14:textId="77777777" w:rsidR="00082B6C" w:rsidRDefault="00082B6C" w:rsidP="00D03F3C">
      <w:pPr>
        <w:spacing w:after="0" w:line="240" w:lineRule="auto"/>
      </w:pPr>
      <w:r>
        <w:continuationSeparator/>
      </w:r>
    </w:p>
  </w:footnote>
  <w:footnote w:type="continuationNotice" w:id="1">
    <w:p w14:paraId="280DB1DA" w14:textId="77777777" w:rsidR="00082B6C" w:rsidRDefault="00082B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317247">
    <w:abstractNumId w:val="18"/>
  </w:num>
  <w:num w:numId="2" w16cid:durableId="196161801">
    <w:abstractNumId w:val="1"/>
  </w:num>
  <w:num w:numId="3" w16cid:durableId="1827434826">
    <w:abstractNumId w:val="15"/>
  </w:num>
  <w:num w:numId="4" w16cid:durableId="55057021">
    <w:abstractNumId w:val="2"/>
  </w:num>
  <w:num w:numId="5" w16cid:durableId="1464881800">
    <w:abstractNumId w:val="31"/>
  </w:num>
  <w:num w:numId="6" w16cid:durableId="224264964">
    <w:abstractNumId w:val="15"/>
  </w:num>
  <w:num w:numId="7" w16cid:durableId="423185857">
    <w:abstractNumId w:val="28"/>
  </w:num>
  <w:num w:numId="8" w16cid:durableId="597446077">
    <w:abstractNumId w:val="7"/>
  </w:num>
  <w:num w:numId="9" w16cid:durableId="741755085">
    <w:abstractNumId w:val="22"/>
  </w:num>
  <w:num w:numId="10" w16cid:durableId="117724494">
    <w:abstractNumId w:val="25"/>
  </w:num>
  <w:num w:numId="11" w16cid:durableId="211040239">
    <w:abstractNumId w:val="9"/>
  </w:num>
  <w:num w:numId="12" w16cid:durableId="813136347">
    <w:abstractNumId w:val="11"/>
  </w:num>
  <w:num w:numId="13" w16cid:durableId="407965792">
    <w:abstractNumId w:val="34"/>
  </w:num>
  <w:num w:numId="14" w16cid:durableId="1080834433">
    <w:abstractNumId w:val="35"/>
  </w:num>
  <w:num w:numId="15" w16cid:durableId="1889880010">
    <w:abstractNumId w:val="16"/>
  </w:num>
  <w:num w:numId="16" w16cid:durableId="1479297278">
    <w:abstractNumId w:val="13"/>
  </w:num>
  <w:num w:numId="17" w16cid:durableId="279608144">
    <w:abstractNumId w:val="23"/>
  </w:num>
  <w:num w:numId="18" w16cid:durableId="680358724">
    <w:abstractNumId w:val="38"/>
  </w:num>
  <w:num w:numId="19" w16cid:durableId="615216735">
    <w:abstractNumId w:val="14"/>
  </w:num>
  <w:num w:numId="20" w16cid:durableId="1185285627">
    <w:abstractNumId w:val="0"/>
  </w:num>
  <w:num w:numId="21" w16cid:durableId="1976443721">
    <w:abstractNumId w:val="4"/>
  </w:num>
  <w:num w:numId="22" w16cid:durableId="439569610">
    <w:abstractNumId w:val="3"/>
  </w:num>
  <w:num w:numId="23" w16cid:durableId="353042679">
    <w:abstractNumId w:val="21"/>
  </w:num>
  <w:num w:numId="24" w16cid:durableId="1988784382">
    <w:abstractNumId w:val="20"/>
  </w:num>
  <w:num w:numId="25" w16cid:durableId="1051686633">
    <w:abstractNumId w:val="37"/>
  </w:num>
  <w:num w:numId="26" w16cid:durableId="1199464305">
    <w:abstractNumId w:val="17"/>
  </w:num>
  <w:num w:numId="27" w16cid:durableId="64305377">
    <w:abstractNumId w:val="27"/>
  </w:num>
  <w:num w:numId="28" w16cid:durableId="1391154511">
    <w:abstractNumId w:val="30"/>
  </w:num>
  <w:num w:numId="29" w16cid:durableId="1050962287">
    <w:abstractNumId w:val="8"/>
  </w:num>
  <w:num w:numId="30" w16cid:durableId="56366263">
    <w:abstractNumId w:val="26"/>
  </w:num>
  <w:num w:numId="31" w16cid:durableId="523441250">
    <w:abstractNumId w:val="32"/>
  </w:num>
  <w:num w:numId="32" w16cid:durableId="1824540371">
    <w:abstractNumId w:val="10"/>
  </w:num>
  <w:num w:numId="33" w16cid:durableId="1222056123">
    <w:abstractNumId w:val="19"/>
  </w:num>
  <w:num w:numId="34" w16cid:durableId="1930503713">
    <w:abstractNumId w:val="24"/>
  </w:num>
  <w:num w:numId="35" w16cid:durableId="256912457">
    <w:abstractNumId w:val="12"/>
  </w:num>
  <w:num w:numId="36" w16cid:durableId="1999728941">
    <w:abstractNumId w:val="6"/>
  </w:num>
  <w:num w:numId="37" w16cid:durableId="669792096">
    <w:abstractNumId w:val="5"/>
  </w:num>
  <w:num w:numId="38" w16cid:durableId="1814441981">
    <w:abstractNumId w:val="29"/>
  </w:num>
  <w:num w:numId="39" w16cid:durableId="136647490">
    <w:abstractNumId w:val="36"/>
  </w:num>
  <w:num w:numId="40" w16cid:durableId="4491290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14966"/>
    <w:rsid w:val="00021A52"/>
    <w:rsid w:val="00021F57"/>
    <w:rsid w:val="0003181C"/>
    <w:rsid w:val="00034109"/>
    <w:rsid w:val="00034B9D"/>
    <w:rsid w:val="00045FB6"/>
    <w:rsid w:val="0006459E"/>
    <w:rsid w:val="00077236"/>
    <w:rsid w:val="00080F0B"/>
    <w:rsid w:val="00081267"/>
    <w:rsid w:val="00082B6C"/>
    <w:rsid w:val="00082DF2"/>
    <w:rsid w:val="00083327"/>
    <w:rsid w:val="00092B94"/>
    <w:rsid w:val="000955FF"/>
    <w:rsid w:val="000965F9"/>
    <w:rsid w:val="000A2358"/>
    <w:rsid w:val="000B255E"/>
    <w:rsid w:val="000C0763"/>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0F2C"/>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1410"/>
    <w:rsid w:val="00594CA7"/>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F1A07"/>
    <w:rsid w:val="007F2961"/>
    <w:rsid w:val="00817B39"/>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7EBE"/>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046"/>
    <w:rsid w:val="00E20476"/>
    <w:rsid w:val="00E30A00"/>
    <w:rsid w:val="00E32B26"/>
    <w:rsid w:val="00E3470E"/>
    <w:rsid w:val="00E40F5C"/>
    <w:rsid w:val="00E413EE"/>
    <w:rsid w:val="00E52AA8"/>
    <w:rsid w:val="00E75DBB"/>
    <w:rsid w:val="00E879FF"/>
    <w:rsid w:val="00E930A0"/>
    <w:rsid w:val="00EA2163"/>
    <w:rsid w:val="00EA46A8"/>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5-staff-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5.xml><?xml version="1.0" encoding="utf-8"?>
<ds:datastoreItem xmlns:ds="http://schemas.openxmlformats.org/officeDocument/2006/customXml" ds:itemID="{74553622-3764-40B5-828E-D3528307F4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4</cp:revision>
  <cp:lastPrinted>2024-05-02T04:06:00Z</cp:lastPrinted>
  <dcterms:created xsi:type="dcterms:W3CDTF">2023-05-30T06:06:00Z</dcterms:created>
  <dcterms:modified xsi:type="dcterms:W3CDTF">2024-05-02T04:06:00Z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{64a8bff1-0089-4f44-a5fc-86f5475f67a0}</vt:lpwstr>
  </property>
  <property fmtid="{D5CDD505-2E9C-101B-9397-08002B2CF9AE}" pid="10" name="RecordPoint_ActiveItemWebId">
    <vt:lpwstr>{603f2397-5de8-47f6-bd19-8ee820c94c7c}</vt:lpwstr>
  </property>
  <property fmtid="{D5CDD505-2E9C-101B-9397-08002B2CF9AE}" pid="11" name="RecordPoint_RecordNumberSubmitted">
    <vt:lpwstr>R20230280948</vt:lpwstr>
  </property>
  <property fmtid="{D5CDD505-2E9C-101B-9397-08002B2CF9AE}" pid="12" name="RecordPoint_SubmissionCompleted">
    <vt:lpwstr>2023-05-30T17:45:44.0816405+10:00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