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5374" w14:textId="77777777" w:rsidR="007166AE" w:rsidRPr="00802AA3" w:rsidRDefault="00147708" w:rsidP="00034598">
      <w:pPr>
        <w:ind w:left="540" w:right="1067"/>
        <w:jc w:val="center"/>
        <w:rPr>
          <w:b/>
          <w:color w:val="AF272F"/>
          <w:sz w:val="36"/>
          <w:szCs w:val="44"/>
        </w:rPr>
      </w:pPr>
      <w:r w:rsidRPr="00802AA3">
        <w:rPr>
          <w:b/>
          <w:color w:val="AF272F"/>
          <w:sz w:val="36"/>
          <w:szCs w:val="44"/>
        </w:rPr>
        <w:t xml:space="preserve">School Strategic Plan </w:t>
      </w:r>
      <w:r w:rsidRPr="00802AA3">
        <w:rPr>
          <w:b/>
          <w:noProof/>
          <w:color w:val="AF272F"/>
          <w:sz w:val="36"/>
          <w:szCs w:val="44"/>
        </w:rPr>
        <w:t>2022-2026</w:t>
      </w:r>
    </w:p>
    <w:p w14:paraId="02D944F0" w14:textId="77777777" w:rsidR="007166AE" w:rsidRPr="006A611D" w:rsidRDefault="00147708" w:rsidP="00034598">
      <w:pPr>
        <w:pStyle w:val="ESIntroParagraph"/>
        <w:ind w:left="-567" w:right="1697" w:firstLine="1107"/>
        <w:jc w:val="center"/>
        <w:rPr>
          <w:color w:val="595959" w:themeColor="text1" w:themeTint="A6"/>
        </w:rPr>
      </w:pPr>
      <w:r w:rsidRPr="006A611D">
        <w:rPr>
          <w:noProof/>
          <w:color w:val="595959" w:themeColor="text1" w:themeTint="A6"/>
        </w:rPr>
        <w:t>Manangatang P-12 College (6235)</w:t>
      </w:r>
    </w:p>
    <w:p w14:paraId="64365CB7" w14:textId="77777777" w:rsidR="007166AE" w:rsidRPr="008766A4" w:rsidRDefault="00147708" w:rsidP="00034598">
      <w:pPr>
        <w:pStyle w:val="ESIntroParagraph"/>
        <w:ind w:left="-567" w:right="4330"/>
        <w:jc w:val="center"/>
      </w:pPr>
    </w:p>
    <w:p w14:paraId="148FB4CC" w14:textId="77777777" w:rsidR="007166AE" w:rsidRDefault="00147708" w:rsidP="00034598">
      <w:pPr>
        <w:pStyle w:val="Heading1"/>
        <w:ind w:left="-567"/>
        <w:jc w:val="center"/>
      </w:pPr>
    </w:p>
    <w:p w14:paraId="6817B832" w14:textId="77777777" w:rsidR="007166AE" w:rsidRDefault="00147708" w:rsidP="00034598">
      <w:pPr>
        <w:pStyle w:val="ESHeading2"/>
        <w:jc w:val="center"/>
      </w:pPr>
    </w:p>
    <w:p w14:paraId="710237F1" w14:textId="77777777" w:rsidR="007166AE" w:rsidRDefault="00147708" w:rsidP="00034598">
      <w:pPr>
        <w:pStyle w:val="ESHeading2"/>
        <w:jc w:val="center"/>
      </w:pPr>
    </w:p>
    <w:p w14:paraId="7D291A53" w14:textId="556F1AB4" w:rsidR="007166AE" w:rsidRDefault="00034598" w:rsidP="00034598">
      <w:pPr>
        <w:pStyle w:val="ESHeading2"/>
        <w:jc w:val="center"/>
      </w:pPr>
      <w:r>
        <w:rPr>
          <w:b w:val="0"/>
          <w:noProof/>
          <w:sz w:val="44"/>
          <w:szCs w:val="44"/>
        </w:rPr>
        <w:drawing>
          <wp:anchor distT="0" distB="0" distL="114300" distR="114300" simplePos="0" relativeHeight="251658240" behindDoc="1" locked="0" layoutInCell="1" allowOverlap="1" wp14:anchorId="1CB413F5" wp14:editId="22605A10">
            <wp:simplePos x="0" y="0"/>
            <wp:positionH relativeFrom="margin">
              <wp:align>center</wp:align>
            </wp:positionH>
            <wp:positionV relativeFrom="paragraph">
              <wp:posOffset>205212</wp:posOffset>
            </wp:positionV>
            <wp:extent cx="3181794" cy="3810532"/>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3181794" cy="3810532"/>
                    </a:xfrm>
                    <a:prstGeom prst="rect">
                      <a:avLst/>
                    </a:prstGeom>
                  </pic:spPr>
                </pic:pic>
              </a:graphicData>
            </a:graphic>
          </wp:anchor>
        </w:drawing>
      </w:r>
    </w:p>
    <w:p w14:paraId="2CE3D312" w14:textId="787C74BD" w:rsidR="007166AE" w:rsidRDefault="00147708" w:rsidP="00034598">
      <w:pPr>
        <w:pStyle w:val="ESHeading2"/>
        <w:jc w:val="center"/>
      </w:pPr>
    </w:p>
    <w:p w14:paraId="3B252930" w14:textId="0098D554" w:rsidR="007166AE" w:rsidRDefault="00147708" w:rsidP="00034598">
      <w:pPr>
        <w:pStyle w:val="ESHeading2"/>
        <w:jc w:val="center"/>
      </w:pPr>
    </w:p>
    <w:p w14:paraId="1BA9F380" w14:textId="46DFB2F0" w:rsidR="007166AE" w:rsidRDefault="00147708" w:rsidP="00034598">
      <w:pPr>
        <w:pStyle w:val="ESHeading2"/>
        <w:jc w:val="center"/>
      </w:pPr>
    </w:p>
    <w:p w14:paraId="61EF3FE7" w14:textId="03AB15C7" w:rsidR="007166AE" w:rsidRPr="00CB0768" w:rsidRDefault="00147708" w:rsidP="00034598">
      <w:pPr>
        <w:pStyle w:val="ESHeading2"/>
        <w:jc w:val="center"/>
      </w:pPr>
    </w:p>
    <w:p w14:paraId="327368EB" w14:textId="77777777" w:rsidR="007166AE" w:rsidRDefault="00147708" w:rsidP="00034598">
      <w:pPr>
        <w:pStyle w:val="ESBodyText"/>
        <w:jc w:val="center"/>
        <w:sectPr w:rsidR="007166AE"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7E7CFC35" wp14:editId="1BE483E7">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4F8C9AF9" w14:textId="77777777" w:rsidR="007166AE" w:rsidRDefault="00147708" w:rsidP="007166AE">
                            <w:pPr>
                              <w:pStyle w:val="ESBodyText"/>
                            </w:pPr>
                            <w:r>
                              <w:rPr>
                                <w:noProof/>
                              </w:rPr>
                              <w:t>Submitted for review by Natalie Mouvet (School Principal) on 22 October, 2022 at 12:31 PM</w:t>
                            </w:r>
                            <w:r>
                              <w:rPr>
                                <w:noProof/>
                              </w:rPr>
                              <w:br/>
                            </w:r>
                            <w:r>
                              <w:rPr>
                                <w:noProof/>
                              </w:rPr>
                              <w:t>Endorsed by Joseph Summerhayes (Senior Education Improvement Leader) on 01 December, 2022 at 06:59 AM</w:t>
                            </w:r>
                            <w:r>
                              <w:rPr>
                                <w:noProof/>
                              </w:rPr>
                              <w:br/>
                              <w:t>Endorsed by David McNicol (School Council President) on 20 December, 2022 at 03:45 PM</w:t>
                            </w:r>
                            <w:r>
                              <w:rPr>
                                <w:noProof/>
                              </w:rPr>
                              <w:br/>
                            </w:r>
                          </w:p>
                        </w:txbxContent>
                      </wps:txbx>
                      <wps:bodyPr rot="0" vert="horz" wrap="square" anchor="t" anchorCtr="0"/>
                    </wps:wsp>
                  </a:graphicData>
                </a:graphic>
              </wp:anchor>
            </w:drawing>
          </mc:Choice>
          <mc:Fallback>
            <w:pict>
              <v:shapetype w14:anchorId="7E7CFC35" id="_x0000_t202" coordsize="21600,21600" o:spt="202" path="m,l,21600r21600,l21600,xe">
                <v:stroke joinstyle="miter"/>
                <v:path gradientshapeok="t" o:connecttype="rect"/>
              </v:shapetype>
              <v:shape id="Text Box 2" o:spid="_x0000_s1026" type="#_x0000_t202" style="position:absolute;left:0;text-align:left;margin-left:7.9pt;margin-top:-99.25pt;width:769.6pt;height:89.3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" stroked="f">
                <v:textbox>
                  <w:txbxContent>
                    <w:p w14:paraId="4F8C9AF9" w14:textId="77777777" w:rsidR="007166AE" w:rsidRDefault="00147708" w:rsidP="007166AE">
                      <w:pPr>
                        <w:pStyle w:val="ESBodyText"/>
                      </w:pPr>
                      <w:r>
                        <w:rPr>
                          <w:noProof/>
                        </w:rPr>
                        <w:t>Submitted for review by Natalie Mouvet (School Principal) on 22 October, 2022 at 12:31 PM</w:t>
                      </w:r>
                      <w:r>
                        <w:rPr>
                          <w:noProof/>
                        </w:rPr>
                        <w:br/>
                      </w:r>
                      <w:r>
                        <w:rPr>
                          <w:noProof/>
                        </w:rPr>
                        <w:t>Endorsed by Joseph Summerhayes (Senior Education Improvement Leader) on 01 December, 2022 at 06:59 AM</w:t>
                      </w:r>
                      <w:r>
                        <w:rPr>
                          <w:noProof/>
                        </w:rPr>
                        <w:br/>
                        <w:t>Endorsed by David McNicol (School Council President) on 20 December, 2022 at 03:45 PM</w:t>
                      </w:r>
                      <w:r>
                        <w:rPr>
                          <w:noProof/>
                        </w:rPr>
                        <w:br/>
                      </w:r>
                    </w:p>
                  </w:txbxContent>
                </v:textbox>
                <w10:wrap anchorx="margin" anchory="margin"/>
                <w10:anchorlock/>
              </v:shape>
            </w:pict>
          </mc:Fallback>
        </mc:AlternateContent>
      </w:r>
    </w:p>
    <w:p w14:paraId="108CDDB6" w14:textId="77777777" w:rsidR="007166AE" w:rsidRPr="00802AA3" w:rsidRDefault="00147708"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2022-2026</w:t>
      </w:r>
    </w:p>
    <w:p w14:paraId="07223689" w14:textId="77777777" w:rsidR="007166AE" w:rsidRDefault="00147708" w:rsidP="007166AE">
      <w:pPr>
        <w:pStyle w:val="ESIntroParagraph"/>
        <w:spacing w:after="120"/>
        <w:ind w:left="-539" w:right="-635" w:firstLine="27"/>
        <w:rPr>
          <w:color w:val="595959" w:themeColor="text1" w:themeTint="A6"/>
        </w:rPr>
      </w:pPr>
      <w:r w:rsidRPr="001D751E">
        <w:rPr>
          <w:noProof/>
          <w:color w:val="595959" w:themeColor="text1" w:themeTint="A6"/>
        </w:rPr>
        <w:t>Manangatang P-12 College (6235)</w:t>
      </w:r>
    </w:p>
    <w:p w14:paraId="4692C7B6" w14:textId="77777777" w:rsidR="007166AE" w:rsidRDefault="00147708"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6C577C" w14:paraId="6FF06261" w14:textId="77777777" w:rsidTr="009B10A5">
        <w:trPr>
          <w:trHeight w:val="110"/>
        </w:trPr>
        <w:tc>
          <w:tcPr>
            <w:tcW w:w="3119" w:type="dxa"/>
            <w:shd w:val="clear" w:color="auto" w:fill="D9D9D9" w:themeFill="background1" w:themeFillShade="D9"/>
          </w:tcPr>
          <w:p w14:paraId="080475D3" w14:textId="77777777" w:rsidR="007166AE" w:rsidRPr="001D6EDC" w:rsidRDefault="00147708"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2E28D7ED" w14:textId="77777777" w:rsidR="007166AE" w:rsidRPr="004365C8" w:rsidRDefault="00147708" w:rsidP="009B10A5">
            <w:pPr>
              <w:pStyle w:val="ESBodyText"/>
              <w:spacing w:after="0"/>
              <w:rPr>
                <w:color w:val="FFFFFF" w:themeColor="background1"/>
                <w:sz w:val="20"/>
                <w:szCs w:val="24"/>
              </w:rPr>
            </w:pPr>
            <w:r>
              <w:rPr>
                <w:sz w:val="20"/>
              </w:rPr>
              <w:t>Manangatang P-12 College provides a supportive, equitable and inspiring environment where we are empowered to embrace learning and fairness, enhance our talents and achieve our personal best.  We aim to build social, emotional and physical w</w:t>
            </w:r>
            <w:r>
              <w:rPr>
                <w:sz w:val="20"/>
              </w:rPr>
              <w:t xml:space="preserve">ell-being. In partnership with the community, we are encouraged to contribute as global citizens who acknowledge human rights and are positive members of society. </w:t>
            </w:r>
          </w:p>
        </w:tc>
      </w:tr>
      <w:tr w:rsidR="006C577C" w14:paraId="7173AB33" w14:textId="77777777" w:rsidTr="009B10A5">
        <w:trPr>
          <w:trHeight w:val="15"/>
        </w:trPr>
        <w:tc>
          <w:tcPr>
            <w:tcW w:w="3119" w:type="dxa"/>
            <w:shd w:val="clear" w:color="auto" w:fill="D9D9D9" w:themeFill="background1" w:themeFillShade="D9"/>
          </w:tcPr>
          <w:p w14:paraId="73FB27C9" w14:textId="77777777" w:rsidR="007166AE" w:rsidRPr="001D6EDC" w:rsidRDefault="00147708"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0532304D" w14:textId="77777777" w:rsidR="007166AE" w:rsidRPr="00FE3D5C" w:rsidRDefault="00147708" w:rsidP="009B10A5">
            <w:pPr>
              <w:pStyle w:val="ESBodyText"/>
              <w:spacing w:after="0"/>
              <w:rPr>
                <w:sz w:val="20"/>
                <w:szCs w:val="24"/>
              </w:rPr>
            </w:pPr>
            <w:r>
              <w:rPr>
                <w:sz w:val="20"/>
              </w:rPr>
              <w:t>Our core school values can be outlined as:</w:t>
            </w:r>
            <w:r>
              <w:rPr>
                <w:sz w:val="20"/>
              </w:rPr>
              <w:br/>
              <w:t xml:space="preserve">Relationships - Building </w:t>
            </w:r>
            <w:r>
              <w:rPr>
                <w:sz w:val="20"/>
              </w:rPr>
              <w:t>trust through kindness, inclusion and communication.</w:t>
            </w:r>
            <w:r>
              <w:rPr>
                <w:sz w:val="20"/>
              </w:rPr>
              <w:br/>
              <w:t>Respect- demonstrate appreciation and a positive regard  for ourselves, others, our College and our community.</w:t>
            </w:r>
            <w:r>
              <w:rPr>
                <w:sz w:val="20"/>
              </w:rPr>
              <w:br/>
              <w:t>Responsibility- Ownership of the impact that our actions have on ourselves, others, our comm</w:t>
            </w:r>
            <w:r>
              <w:rPr>
                <w:sz w:val="20"/>
              </w:rPr>
              <w:t>unity and environment.</w:t>
            </w:r>
            <w:r>
              <w:rPr>
                <w:sz w:val="20"/>
              </w:rPr>
              <w:br/>
              <w:t>Resilience- Persistence when faced with challenges.</w:t>
            </w:r>
            <w:r>
              <w:rPr>
                <w:sz w:val="20"/>
              </w:rPr>
              <w:br/>
            </w:r>
          </w:p>
        </w:tc>
      </w:tr>
      <w:tr w:rsidR="006C577C" w14:paraId="63C910D6" w14:textId="77777777" w:rsidTr="009B10A5">
        <w:trPr>
          <w:trHeight w:val="15"/>
        </w:trPr>
        <w:tc>
          <w:tcPr>
            <w:tcW w:w="3119" w:type="dxa"/>
            <w:shd w:val="clear" w:color="auto" w:fill="D9D9D9" w:themeFill="background1" w:themeFillShade="D9"/>
          </w:tcPr>
          <w:p w14:paraId="7D7BAA53" w14:textId="77777777" w:rsidR="007166AE" w:rsidRPr="001D6EDC" w:rsidRDefault="00147708"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0C423A73" w14:textId="77777777" w:rsidR="007166AE" w:rsidRPr="00FE3D5C" w:rsidRDefault="00147708" w:rsidP="009B10A5">
            <w:pPr>
              <w:pStyle w:val="ESBodyText"/>
              <w:spacing w:after="0"/>
              <w:rPr>
                <w:sz w:val="20"/>
                <w:szCs w:val="24"/>
              </w:rPr>
            </w:pPr>
            <w:r>
              <w:rPr>
                <w:sz w:val="20"/>
              </w:rPr>
              <w:t>Manangatang P-12 College is located at Manangatang in the Mallee region of north-west Victoria, 412 kilometres from Melbourne. The township has a population of approximately 479 people and the economy is based on dryland farming, including grain growing an</w:t>
            </w:r>
            <w:r>
              <w:rPr>
                <w:sz w:val="20"/>
              </w:rPr>
              <w:t xml:space="preserve">d sheep. A declining district-wide population has been evident since the 1980’s, with farm sizes becoming larger and family numbers becoming fewer. </w:t>
            </w:r>
            <w:r>
              <w:rPr>
                <w:sz w:val="20"/>
              </w:rPr>
              <w:br/>
            </w:r>
            <w:r>
              <w:rPr>
                <w:sz w:val="20"/>
              </w:rPr>
              <w:br/>
              <w:t>The school is comprised of a combination of permanent and relocatable buildings, and specialist teaching s</w:t>
            </w:r>
            <w:r>
              <w:rPr>
                <w:sz w:val="20"/>
              </w:rPr>
              <w:t>paces including sports stadium, design technology workshop, digital technology room, art room and food technology room. An agricultural area is also within the school grounds. The school grounds include playground areas, an oval and native gardens. The sch</w:t>
            </w:r>
            <w:r>
              <w:rPr>
                <w:sz w:val="20"/>
              </w:rPr>
              <w:t xml:space="preserve">ool has a well-maintained digital technology infrastructure to support the learning of students in a remote location. </w:t>
            </w:r>
            <w:r>
              <w:rPr>
                <w:sz w:val="20"/>
              </w:rPr>
              <w:br/>
            </w:r>
            <w:r>
              <w:rPr>
                <w:sz w:val="20"/>
              </w:rPr>
              <w:br/>
              <w:t>Enrolments at the time of the review were 63.6 students, with about half of the students living outside the traditional 30km radius catc</w:t>
            </w:r>
            <w:r>
              <w:rPr>
                <w:sz w:val="20"/>
              </w:rPr>
              <w:t xml:space="preserve">hment area. Over the past four years enrolments declined by 25 students. Enrolments have declined by 48 students from 2009-2018. </w:t>
            </w:r>
            <w:r>
              <w:rPr>
                <w:sz w:val="20"/>
              </w:rPr>
              <w:br/>
            </w:r>
            <w:r>
              <w:rPr>
                <w:sz w:val="20"/>
              </w:rPr>
              <w:br/>
              <w:t>The Student Family Occupation Education index was 0.4263 in 2022. 28% of our families receive equity funding.  17% of student</w:t>
            </w:r>
            <w:r>
              <w:rPr>
                <w:sz w:val="20"/>
              </w:rPr>
              <w:t xml:space="preserve">s identify as Aboriginal.  60% of students have a barrier to learning.  Disability Inclusion support is being provided to all staff beginning in 2022 and continuing until the end of 2022.  One student is identified as living out of home.  </w:t>
            </w:r>
            <w:r>
              <w:rPr>
                <w:sz w:val="20"/>
              </w:rPr>
              <w:br/>
            </w:r>
            <w:r>
              <w:rPr>
                <w:sz w:val="20"/>
              </w:rPr>
              <w:br/>
              <w:t>The staffing pr</w:t>
            </w:r>
            <w:r>
              <w:rPr>
                <w:sz w:val="20"/>
              </w:rPr>
              <w:t xml:space="preserve">ofile of Manangatang P-12 College includes a Principal, two Lead Teachers, a Learning Specialist 12.5 teachers, and </w:t>
            </w:r>
            <w:r>
              <w:rPr>
                <w:sz w:val="20"/>
              </w:rPr>
              <w:lastRenderedPageBreak/>
              <w:t>4.3 full time equivalent Education Support (ES) staff.</w:t>
            </w:r>
            <w:r>
              <w:rPr>
                <w:sz w:val="20"/>
              </w:rPr>
              <w:br/>
            </w:r>
            <w:r>
              <w:rPr>
                <w:sz w:val="20"/>
              </w:rPr>
              <w:br/>
              <w:t>The school partners with Robinvale College, Ouyen P-12 Secondary College, Tyrrell P-</w:t>
            </w:r>
            <w:r>
              <w:rPr>
                <w:sz w:val="20"/>
              </w:rPr>
              <w:t>12 College schools in a reciprocally beneficial arrangement to provide a broader range of subject offerings at Victorian Certificate of Education (VCE). The school delivers and receives and delivers subjects via Webex. Where possible Vocational Education a</w:t>
            </w:r>
            <w:r>
              <w:rPr>
                <w:sz w:val="20"/>
              </w:rPr>
              <w:t>nd Training (VET) subjects are provided in partnership with Sunitafe (Swan Hill and Robinvale).  Manangatang P-12 College also partners with Murrayville, Robinvale and Ouyen P-12 College’s to provide camps, excursions and other curricular and extra curricu</w:t>
            </w:r>
            <w:r>
              <w:rPr>
                <w:sz w:val="20"/>
              </w:rPr>
              <w:t>lar activities.</w:t>
            </w:r>
            <w:r>
              <w:rPr>
                <w:sz w:val="20"/>
              </w:rPr>
              <w:br/>
            </w:r>
            <w:r>
              <w:rPr>
                <w:sz w:val="20"/>
              </w:rPr>
              <w:br/>
            </w:r>
          </w:p>
        </w:tc>
      </w:tr>
      <w:tr w:rsidR="006C577C" w14:paraId="14A9340C" w14:textId="77777777" w:rsidTr="009B10A5">
        <w:trPr>
          <w:trHeight w:val="15"/>
        </w:trPr>
        <w:tc>
          <w:tcPr>
            <w:tcW w:w="3119" w:type="dxa"/>
            <w:shd w:val="clear" w:color="auto" w:fill="D9D9D9" w:themeFill="background1" w:themeFillShade="D9"/>
          </w:tcPr>
          <w:p w14:paraId="3397D163" w14:textId="77777777" w:rsidR="007166AE" w:rsidRPr="001D6EDC" w:rsidRDefault="00147708" w:rsidP="009B10A5">
            <w:pPr>
              <w:pStyle w:val="Heading3"/>
              <w:spacing w:before="0" w:after="0"/>
              <w:rPr>
                <w:sz w:val="22"/>
                <w:szCs w:val="22"/>
              </w:rPr>
            </w:pPr>
            <w:r w:rsidRPr="005206F9">
              <w:rPr>
                <w:sz w:val="22"/>
                <w:szCs w:val="22"/>
              </w:rPr>
              <w:lastRenderedPageBreak/>
              <w:t>Intent, rationale and focus</w:t>
            </w:r>
          </w:p>
        </w:tc>
        <w:tc>
          <w:tcPr>
            <w:tcW w:w="11996" w:type="dxa"/>
            <w:shd w:val="clear" w:color="auto" w:fill="FFFFFF" w:themeFill="background1"/>
          </w:tcPr>
          <w:p w14:paraId="62488F2A" w14:textId="77777777" w:rsidR="007166AE" w:rsidRPr="00FE3D5C" w:rsidRDefault="00147708" w:rsidP="009B10A5">
            <w:pPr>
              <w:pStyle w:val="ESBodyText"/>
              <w:spacing w:after="0"/>
              <w:rPr>
                <w:sz w:val="20"/>
                <w:szCs w:val="24"/>
              </w:rPr>
            </w:pPr>
            <w:r>
              <w:rPr>
                <w:sz w:val="20"/>
              </w:rPr>
              <w:t>Intent: Improve the learning growth and achievement of all students</w:t>
            </w:r>
            <w:r>
              <w:rPr>
                <w:sz w:val="20"/>
              </w:rPr>
              <w:br/>
              <w:t>Rationale:</w:t>
            </w:r>
            <w:r>
              <w:rPr>
                <w:sz w:val="20"/>
              </w:rPr>
              <w:br/>
              <w:t>The Panel found that the school’s achievement and learning growth data indicated that, in some areas of the school, almost all stu</w:t>
            </w:r>
            <w:r>
              <w:rPr>
                <w:sz w:val="20"/>
              </w:rPr>
              <w:t>dents had achieved at, or above, expected levels in their learning. It noted that this growth and achievement decreased as students progressed through the school. The Panel recommended that an emphasis on the use of data, the implementation of whole-school</w:t>
            </w:r>
            <w:r>
              <w:rPr>
                <w:sz w:val="20"/>
              </w:rPr>
              <w:t xml:space="preserve"> evidence-based approaches, and increased consistency in the use of high impact strategies be key improvement strategies for the next four years.</w:t>
            </w:r>
            <w:r>
              <w:rPr>
                <w:sz w:val="20"/>
              </w:rPr>
              <w:br/>
              <w:t>Focus: Teaching and Learning, Leadership</w:t>
            </w:r>
            <w:r>
              <w:rPr>
                <w:sz w:val="20"/>
              </w:rPr>
              <w:br/>
            </w:r>
            <w:r>
              <w:rPr>
                <w:sz w:val="20"/>
              </w:rPr>
              <w:br/>
              <w:t>Intent: Improve all students’ wellbeing and engagement in learning</w:t>
            </w:r>
            <w:r>
              <w:rPr>
                <w:sz w:val="20"/>
              </w:rPr>
              <w:br/>
              <w:t>R</w:t>
            </w:r>
            <w:r>
              <w:rPr>
                <w:sz w:val="20"/>
              </w:rPr>
              <w:t>ationale:</w:t>
            </w:r>
            <w:r>
              <w:rPr>
                <w:sz w:val="20"/>
              </w:rPr>
              <w:br/>
              <w:t xml:space="preserve">The Panel agreed that the school had strategies in place that offered students voice and leadership. It agreed that while some teachers provided effective feedback and offered a range of inclusive supports for learning, there was a high level of </w:t>
            </w:r>
            <w:r>
              <w:rPr>
                <w:sz w:val="20"/>
              </w:rPr>
              <w:t>inconsistency across the school.</w:t>
            </w:r>
            <w:r>
              <w:rPr>
                <w:sz w:val="20"/>
              </w:rPr>
              <w:br/>
              <w:t>Focus: Engagement</w:t>
            </w:r>
            <w:r>
              <w:rPr>
                <w:sz w:val="20"/>
              </w:rPr>
              <w:br/>
            </w:r>
          </w:p>
        </w:tc>
      </w:tr>
    </w:tbl>
    <w:p w14:paraId="3A3E7884" w14:textId="77777777" w:rsidR="007166AE" w:rsidRDefault="00147708" w:rsidP="007166AE">
      <w:pPr>
        <w:pStyle w:val="ESIntroParagraph"/>
        <w:ind w:left="-567" w:right="1708" w:firstLine="27"/>
        <w:rPr>
          <w:color w:val="595959" w:themeColor="text1" w:themeTint="A6"/>
        </w:rPr>
      </w:pPr>
    </w:p>
    <w:p w14:paraId="09A236B9" w14:textId="77777777" w:rsidR="007166AE" w:rsidRDefault="00147708" w:rsidP="007166AE">
      <w:pPr>
        <w:pStyle w:val="ESIntroParagraph"/>
        <w:ind w:left="-567" w:right="1708" w:firstLine="27"/>
        <w:rPr>
          <w:color w:val="595959" w:themeColor="text1" w:themeTint="A6"/>
        </w:rPr>
      </w:pPr>
    </w:p>
    <w:p w14:paraId="2F1A17B9" w14:textId="77777777" w:rsidR="007166AE" w:rsidRDefault="00147708" w:rsidP="007166AE">
      <w:pPr>
        <w:pStyle w:val="ESIntroParagraph"/>
        <w:ind w:left="-567" w:right="1708" w:firstLine="27"/>
        <w:rPr>
          <w:color w:val="595959" w:themeColor="text1" w:themeTint="A6"/>
          <w:sz w:val="24"/>
          <w:szCs w:val="24"/>
        </w:rPr>
      </w:pPr>
    </w:p>
    <w:p w14:paraId="170CD6BF" w14:textId="77777777" w:rsidR="007166AE" w:rsidRDefault="00147708" w:rsidP="007166AE">
      <w:pPr>
        <w:pStyle w:val="ESIntroParagraph"/>
        <w:ind w:left="-567" w:right="1708" w:firstLine="27"/>
        <w:rPr>
          <w:color w:val="595959" w:themeColor="text1" w:themeTint="A6"/>
          <w:sz w:val="24"/>
          <w:szCs w:val="24"/>
        </w:rPr>
      </w:pPr>
    </w:p>
    <w:p w14:paraId="62971C40" w14:textId="77777777" w:rsidR="007166AE" w:rsidRPr="00722E21" w:rsidRDefault="00147708" w:rsidP="007166AE">
      <w:pPr>
        <w:pStyle w:val="ESIntroParagraph"/>
        <w:ind w:left="-567" w:right="1708" w:firstLine="27"/>
        <w:rPr>
          <w:color w:val="595959" w:themeColor="text1" w:themeTint="A6"/>
          <w:sz w:val="20"/>
          <w:szCs w:val="20"/>
        </w:rPr>
      </w:pPr>
    </w:p>
    <w:p w14:paraId="5A23AC4C" w14:textId="77777777" w:rsidR="007166AE" w:rsidRPr="00B13A07" w:rsidRDefault="00147708" w:rsidP="007166AE">
      <w:pPr>
        <w:pStyle w:val="ESIntroParagraph"/>
        <w:ind w:right="1708"/>
        <w:rPr>
          <w:color w:val="595959" w:themeColor="text1" w:themeTint="A6"/>
        </w:rPr>
        <w:sectPr w:rsidR="007166AE"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2595D2C7" w14:textId="77777777" w:rsidR="007166AE" w:rsidRDefault="00147708"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2022-2026</w:t>
      </w:r>
    </w:p>
    <w:p w14:paraId="7FC3D6BC" w14:textId="77777777" w:rsidR="007166AE" w:rsidRDefault="00147708" w:rsidP="007166AE">
      <w:pPr>
        <w:ind w:left="-540" w:right="-632"/>
        <w:rPr>
          <w:color w:val="595959" w:themeColor="text1" w:themeTint="A6"/>
          <w:sz w:val="28"/>
          <w:szCs w:val="28"/>
        </w:rPr>
      </w:pPr>
      <w:r w:rsidRPr="00FA10DB">
        <w:rPr>
          <w:noProof/>
          <w:color w:val="595959" w:themeColor="text1" w:themeTint="A6"/>
          <w:sz w:val="28"/>
          <w:szCs w:val="28"/>
        </w:rPr>
        <w:t>Manangatang P-12 College (6235)</w:t>
      </w:r>
    </w:p>
    <w:p w14:paraId="1711DE37" w14:textId="77777777" w:rsidR="007166AE" w:rsidRDefault="00147708"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6C577C" w14:paraId="619DD8BC" w14:textId="77777777" w:rsidTr="009B10A5">
        <w:trPr>
          <w:trHeight w:val="15"/>
        </w:trPr>
        <w:tc>
          <w:tcPr>
            <w:tcW w:w="4055" w:type="dxa"/>
            <w:shd w:val="clear" w:color="auto" w:fill="D9D9D9" w:themeFill="background1" w:themeFillShade="D9"/>
          </w:tcPr>
          <w:p w14:paraId="23869775" w14:textId="77777777" w:rsidR="007166AE" w:rsidRPr="001C2589" w:rsidRDefault="00147708" w:rsidP="009B10A5">
            <w:pPr>
              <w:pStyle w:val="Heading3"/>
              <w:spacing w:before="0" w:after="0"/>
              <w:rPr>
                <w:sz w:val="24"/>
                <w:szCs w:val="24"/>
              </w:rPr>
            </w:pPr>
            <w:r w:rsidRPr="001C2589">
              <w:rPr>
                <w:sz w:val="24"/>
                <w:szCs w:val="24"/>
              </w:rPr>
              <w:t>Goal 1</w:t>
            </w:r>
          </w:p>
        </w:tc>
        <w:tc>
          <w:tcPr>
            <w:tcW w:w="11060" w:type="dxa"/>
            <w:shd w:val="clear" w:color="auto" w:fill="FFFFFF" w:themeFill="background1"/>
          </w:tcPr>
          <w:p w14:paraId="7D6D352C" w14:textId="77777777" w:rsidR="007166AE" w:rsidRDefault="00147708" w:rsidP="009B10A5">
            <w:pPr>
              <w:pStyle w:val="ESBodyText"/>
              <w:spacing w:after="0"/>
              <w:rPr>
                <w:sz w:val="20"/>
                <w:szCs w:val="24"/>
              </w:rPr>
            </w:pPr>
            <w:r>
              <w:rPr>
                <w:sz w:val="20"/>
                <w:szCs w:val="24"/>
              </w:rPr>
              <w:t>Improve the learning growth and achievement of all students</w:t>
            </w:r>
          </w:p>
        </w:tc>
      </w:tr>
      <w:tr w:rsidR="006C577C" w14:paraId="7A698FA3" w14:textId="77777777" w:rsidTr="009B10A5">
        <w:trPr>
          <w:trHeight w:val="15"/>
        </w:trPr>
        <w:tc>
          <w:tcPr>
            <w:tcW w:w="4055" w:type="dxa"/>
            <w:shd w:val="clear" w:color="auto" w:fill="D9D9D9" w:themeFill="background1" w:themeFillShade="D9"/>
          </w:tcPr>
          <w:p w14:paraId="7F9098F5" w14:textId="77777777" w:rsidR="007166AE" w:rsidRDefault="00147708" w:rsidP="009B10A5">
            <w:pPr>
              <w:pStyle w:val="Heading3"/>
              <w:spacing w:before="0" w:after="0"/>
              <w:rPr>
                <w:szCs w:val="20"/>
              </w:rPr>
            </w:pPr>
            <w:r>
              <w:rPr>
                <w:szCs w:val="20"/>
              </w:rPr>
              <w:t>Target 1.1</w:t>
            </w:r>
          </w:p>
        </w:tc>
        <w:tc>
          <w:tcPr>
            <w:tcW w:w="11060" w:type="dxa"/>
            <w:shd w:val="clear" w:color="auto" w:fill="FFFFFF" w:themeFill="background1"/>
          </w:tcPr>
          <w:p w14:paraId="6948E816" w14:textId="77777777" w:rsidR="006C577C" w:rsidRDefault="0014770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color w:val="000000"/>
                <w:sz w:val="24"/>
                <w:szCs w:val="24"/>
              </w:rPr>
              <w:t>2026, the proportion of Years 1-10 students making the expected  or above- expected learning growth in the Victorian Curriculum as assessed by Teacher Judgements over a 12 month period will increase: </w:t>
            </w:r>
          </w:p>
          <w:p w14:paraId="2CFC8237" w14:textId="77777777" w:rsidR="006C577C" w:rsidRDefault="00147708">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Reading and Viewing from 72.5 per cent in 2021 to 85</w:t>
            </w:r>
            <w:r>
              <w:rPr>
                <w:rFonts w:ascii="Times New Roman" w:eastAsia="Times New Roman" w:hAnsi="Times New Roman" w:cs="Times New Roman"/>
                <w:color w:val="000000"/>
                <w:sz w:val="24"/>
                <w:szCs w:val="24"/>
              </w:rPr>
              <w:t xml:space="preserve"> per cent</w:t>
            </w:r>
          </w:p>
          <w:p w14:paraId="6E1C32DF" w14:textId="77777777" w:rsidR="006C577C" w:rsidRDefault="00147708">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Speaking and Listening from 76.8 per cent in 2021 to 85 per cent </w:t>
            </w:r>
          </w:p>
          <w:p w14:paraId="4AD88C5F" w14:textId="77777777" w:rsidR="006C577C" w:rsidRDefault="00147708">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Writing from 61.9 per cent in 2021 to 85 per cent </w:t>
            </w:r>
          </w:p>
          <w:p w14:paraId="708DFFFC" w14:textId="77777777" w:rsidR="006C577C" w:rsidRDefault="00147708">
            <w:pPr>
              <w:numPr>
                <w:ilvl w:val="0"/>
                <w:numId w:val="1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Number and Algebra from 85 per cent in 2021 to 85 per cent </w:t>
            </w:r>
          </w:p>
          <w:p w14:paraId="12A260D5" w14:textId="77777777" w:rsidR="006C577C" w:rsidRDefault="006C577C"/>
        </w:tc>
      </w:tr>
      <w:tr w:rsidR="006C577C" w14:paraId="680EA8F3" w14:textId="77777777" w:rsidTr="009B10A5">
        <w:trPr>
          <w:trHeight w:val="15"/>
        </w:trPr>
        <w:tc>
          <w:tcPr>
            <w:tcW w:w="4055" w:type="dxa"/>
            <w:shd w:val="clear" w:color="auto" w:fill="D9D9D9" w:themeFill="background1" w:themeFillShade="D9"/>
          </w:tcPr>
          <w:p w14:paraId="3EB84C43" w14:textId="77777777" w:rsidR="007166AE" w:rsidRDefault="00147708" w:rsidP="009B10A5">
            <w:pPr>
              <w:pStyle w:val="Heading3"/>
              <w:spacing w:before="0" w:after="0"/>
              <w:rPr>
                <w:szCs w:val="20"/>
              </w:rPr>
            </w:pPr>
            <w:r>
              <w:rPr>
                <w:szCs w:val="20"/>
              </w:rPr>
              <w:t>Target 1.2</w:t>
            </w:r>
          </w:p>
        </w:tc>
        <w:tc>
          <w:tcPr>
            <w:tcW w:w="11060" w:type="dxa"/>
            <w:shd w:val="clear" w:color="auto" w:fill="FFFFFF" w:themeFill="background1"/>
          </w:tcPr>
          <w:p w14:paraId="3F527D7B" w14:textId="77777777" w:rsidR="006C577C" w:rsidRDefault="0014770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2026, increase the positive </w:t>
            </w:r>
            <w:r>
              <w:rPr>
                <w:rFonts w:ascii="Times New Roman" w:eastAsia="Times New Roman" w:hAnsi="Times New Roman" w:cs="Times New Roman"/>
                <w:color w:val="000000"/>
                <w:sz w:val="24"/>
                <w:szCs w:val="24"/>
              </w:rPr>
              <w:t>endorsement on the Attitudes to School Survey in the following variables:</w:t>
            </w:r>
          </w:p>
          <w:p w14:paraId="5AA4BB0A" w14:textId="77777777" w:rsidR="006C577C" w:rsidRDefault="00147708">
            <w:pPr>
              <w:numPr>
                <w:ilvl w:val="0"/>
                <w:numId w:val="1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Effective teaching time – from 55 percent (2021) to 70 percent</w:t>
            </w:r>
          </w:p>
          <w:p w14:paraId="7CA842EC" w14:textId="77777777" w:rsidR="006C577C" w:rsidRDefault="00147708">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Differentiated learning challenge – from 53 percent (2021) to 70 percent </w:t>
            </w:r>
          </w:p>
          <w:p w14:paraId="5E1C6533" w14:textId="77777777" w:rsidR="006C577C" w:rsidRDefault="00147708">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Stimulated learning – from 50 percent (2021) to 70 percent</w:t>
            </w:r>
          </w:p>
          <w:p w14:paraId="02632CF9" w14:textId="77777777" w:rsidR="006C577C" w:rsidRDefault="00147708">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Effort – from 60 percent (2021) to 70 percent</w:t>
            </w:r>
          </w:p>
          <w:p w14:paraId="31C0FEF6" w14:textId="77777777" w:rsidR="006C577C" w:rsidRDefault="00147708">
            <w:pPr>
              <w:numPr>
                <w:ilvl w:val="0"/>
                <w:numId w:val="1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High expectations for success – from 60 percent (2021) to 70 percent.</w:t>
            </w:r>
          </w:p>
          <w:p w14:paraId="5401E72E" w14:textId="77777777" w:rsidR="006C577C" w:rsidRDefault="006C577C"/>
        </w:tc>
      </w:tr>
      <w:tr w:rsidR="006C577C" w14:paraId="717C1333" w14:textId="77777777" w:rsidTr="009B10A5">
        <w:trPr>
          <w:trHeight w:val="15"/>
        </w:trPr>
        <w:tc>
          <w:tcPr>
            <w:tcW w:w="4055" w:type="dxa"/>
            <w:shd w:val="clear" w:color="auto" w:fill="D9D9D9" w:themeFill="background1" w:themeFillShade="D9"/>
          </w:tcPr>
          <w:p w14:paraId="157458EF" w14:textId="77777777" w:rsidR="007166AE" w:rsidRDefault="00147708" w:rsidP="009B10A5">
            <w:pPr>
              <w:pStyle w:val="Heading3"/>
              <w:spacing w:before="0" w:after="0"/>
              <w:rPr>
                <w:szCs w:val="20"/>
              </w:rPr>
            </w:pPr>
            <w:r>
              <w:rPr>
                <w:szCs w:val="20"/>
              </w:rPr>
              <w:t>Target 1.3</w:t>
            </w:r>
          </w:p>
        </w:tc>
        <w:tc>
          <w:tcPr>
            <w:tcW w:w="11060" w:type="dxa"/>
            <w:shd w:val="clear" w:color="auto" w:fill="FFFFFF" w:themeFill="background1"/>
          </w:tcPr>
          <w:p w14:paraId="2B847675" w14:textId="77777777" w:rsidR="006C577C" w:rsidRDefault="0014770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increase the positive endorsement levels on the School Staff Survey in the following measures:</w:t>
            </w:r>
          </w:p>
          <w:p w14:paraId="13C131BC" w14:textId="77777777" w:rsidR="006C577C" w:rsidRDefault="00147708">
            <w:pPr>
              <w:numPr>
                <w:ilvl w:val="0"/>
                <w:numId w:val="2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Guaranteed and viable curriculum – from 54 percent (2021) to 75 percent</w:t>
            </w:r>
          </w:p>
          <w:p w14:paraId="759DBADB" w14:textId="77777777" w:rsidR="006C577C" w:rsidRDefault="00147708">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Academic emphasis – from 25 percent (2021) to 50 percent</w:t>
            </w:r>
          </w:p>
          <w:p w14:paraId="3F16614A" w14:textId="77777777" w:rsidR="006C577C" w:rsidRDefault="00147708">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Collective focus on student learning – from 61 percent (2021) to 75 percent</w:t>
            </w:r>
          </w:p>
          <w:p w14:paraId="589F25EE" w14:textId="77777777" w:rsidR="006C577C" w:rsidRDefault="00147708">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Visibility (School Leadership) – from 36 percent (2021) to 60 percent</w:t>
            </w:r>
          </w:p>
          <w:p w14:paraId="6C7EF154" w14:textId="77777777" w:rsidR="006C577C" w:rsidRDefault="00147708">
            <w:pPr>
              <w:numPr>
                <w:ilvl w:val="0"/>
                <w:numId w:val="2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Understand how to analyse data (Evaluation) – from 30 percent (2021) to 60 percent.</w:t>
            </w:r>
          </w:p>
          <w:p w14:paraId="5CFD037F" w14:textId="77777777" w:rsidR="006C577C" w:rsidRDefault="006C577C"/>
        </w:tc>
      </w:tr>
      <w:tr w:rsidR="006C577C" w14:paraId="0B0176E5" w14:textId="77777777" w:rsidTr="009B10A5">
        <w:trPr>
          <w:trHeight w:val="15"/>
        </w:trPr>
        <w:tc>
          <w:tcPr>
            <w:tcW w:w="4055" w:type="dxa"/>
            <w:shd w:val="clear" w:color="auto" w:fill="D9D9D9" w:themeFill="background1" w:themeFillShade="D9"/>
          </w:tcPr>
          <w:p w14:paraId="3FF9733A" w14:textId="77777777" w:rsidR="007166AE" w:rsidRDefault="00147708" w:rsidP="009B10A5">
            <w:pPr>
              <w:pStyle w:val="Heading3"/>
              <w:spacing w:before="0" w:after="0"/>
              <w:rPr>
                <w:szCs w:val="20"/>
              </w:rPr>
            </w:pPr>
            <w:r>
              <w:rPr>
                <w:szCs w:val="20"/>
              </w:rPr>
              <w:lastRenderedPageBreak/>
              <w:t>Target 1.4</w:t>
            </w:r>
          </w:p>
        </w:tc>
        <w:tc>
          <w:tcPr>
            <w:tcW w:w="11060" w:type="dxa"/>
            <w:shd w:val="clear" w:color="auto" w:fill="FFFFFF" w:themeFill="background1"/>
          </w:tcPr>
          <w:p w14:paraId="5FC660E5" w14:textId="77777777" w:rsidR="006C577C" w:rsidRDefault="0014770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redu</w:t>
            </w:r>
            <w:r>
              <w:rPr>
                <w:rFonts w:ascii="Times New Roman" w:eastAsia="Times New Roman" w:hAnsi="Times New Roman" w:cs="Times New Roman"/>
                <w:color w:val="000000"/>
                <w:sz w:val="24"/>
                <w:szCs w:val="24"/>
              </w:rPr>
              <w:t>ce the proportion of students achieving in the NAPLAN Bottom Two Bands in Numeracy as shown:</w:t>
            </w:r>
          </w:p>
          <w:p w14:paraId="58800F73" w14:textId="77777777" w:rsidR="006C577C" w:rsidRDefault="0014770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Please note – 25 percent is considered indicative of one or less students, depending on cohort size in the next reviewed year.</w:t>
            </w:r>
          </w:p>
          <w:p w14:paraId="43DD9BF3" w14:textId="77777777" w:rsidR="006C577C" w:rsidRDefault="00147708">
            <w:pPr>
              <w:numPr>
                <w:ilvl w:val="0"/>
                <w:numId w:val="2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Year 5 – from 75 percent </w:t>
            </w:r>
            <w:r>
              <w:rPr>
                <w:rFonts w:ascii="Times New Roman" w:eastAsia="Times New Roman" w:hAnsi="Times New Roman" w:cs="Times New Roman"/>
                <w:color w:val="000000"/>
                <w:sz w:val="24"/>
                <w:szCs w:val="24"/>
              </w:rPr>
              <w:t>(2021) to less than 25 percent</w:t>
            </w:r>
          </w:p>
          <w:p w14:paraId="27B485B5" w14:textId="77777777" w:rsidR="006C577C" w:rsidRDefault="00147708">
            <w:pPr>
              <w:numPr>
                <w:ilvl w:val="0"/>
                <w:numId w:val="21"/>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7 – from 50 percent (2021) to less than 25 percent</w:t>
            </w:r>
          </w:p>
          <w:p w14:paraId="537A2EB8" w14:textId="77777777" w:rsidR="006C577C" w:rsidRDefault="00147708">
            <w:pPr>
              <w:numPr>
                <w:ilvl w:val="0"/>
                <w:numId w:val="2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9 – from 43 percent (2021) to less than 25 percent.</w:t>
            </w:r>
          </w:p>
          <w:p w14:paraId="115F2B01" w14:textId="77777777" w:rsidR="006C577C" w:rsidRDefault="006C577C"/>
        </w:tc>
      </w:tr>
      <w:tr w:rsidR="006C577C" w14:paraId="363097A2" w14:textId="77777777" w:rsidTr="009B10A5">
        <w:trPr>
          <w:trHeight w:val="15"/>
        </w:trPr>
        <w:tc>
          <w:tcPr>
            <w:tcW w:w="4055" w:type="dxa"/>
            <w:shd w:val="clear" w:color="auto" w:fill="F8A718"/>
          </w:tcPr>
          <w:p w14:paraId="523AE524" w14:textId="77777777" w:rsidR="007166AE" w:rsidRDefault="00147708" w:rsidP="009B10A5">
            <w:pPr>
              <w:pStyle w:val="Heading3"/>
              <w:spacing w:before="0" w:after="0"/>
              <w:rPr>
                <w:szCs w:val="20"/>
              </w:rPr>
            </w:pPr>
            <w:r>
              <w:rPr>
                <w:szCs w:val="20"/>
              </w:rPr>
              <w:t>Key Improvement Strategy 1.a</w:t>
            </w:r>
          </w:p>
          <w:p w14:paraId="38756787" w14:textId="77777777" w:rsidR="006C577C" w:rsidRDefault="00147708">
            <w:r>
              <w:rPr>
                <w:sz w:val="20"/>
              </w:rPr>
              <w:t xml:space="preserve">The strategic direction and deployment of resources to create and reflect shared </w:t>
            </w:r>
            <w:r>
              <w:rPr>
                <w:sz w:val="20"/>
              </w:rPr>
              <w:t xml:space="preserve">goals and values; high expectations; and a positive, safe and orderly learning environment </w:t>
            </w:r>
          </w:p>
        </w:tc>
        <w:tc>
          <w:tcPr>
            <w:tcW w:w="11060" w:type="dxa"/>
            <w:shd w:val="clear" w:color="auto" w:fill="FFFFFF" w:themeFill="background1"/>
          </w:tcPr>
          <w:p w14:paraId="0B116A88" w14:textId="77777777" w:rsidR="007166AE" w:rsidRPr="00FE3D5C" w:rsidRDefault="00147708" w:rsidP="009B10A5">
            <w:pPr>
              <w:pStyle w:val="ESBodyText"/>
              <w:spacing w:after="0"/>
              <w:rPr>
                <w:sz w:val="20"/>
                <w:szCs w:val="24"/>
              </w:rPr>
            </w:pPr>
            <w:r>
              <w:rPr>
                <w:sz w:val="20"/>
              </w:rPr>
              <w:t>Build a culture of reflective practice, collaboration and high expectations for all staff and students</w:t>
            </w:r>
          </w:p>
        </w:tc>
      </w:tr>
      <w:tr w:rsidR="006C577C" w14:paraId="2A3CE066" w14:textId="77777777" w:rsidTr="009B10A5">
        <w:trPr>
          <w:trHeight w:val="15"/>
        </w:trPr>
        <w:tc>
          <w:tcPr>
            <w:tcW w:w="4055" w:type="dxa"/>
            <w:shd w:val="clear" w:color="auto" w:fill="62BFEB"/>
          </w:tcPr>
          <w:p w14:paraId="0135EC7C" w14:textId="77777777" w:rsidR="007166AE" w:rsidRDefault="00147708" w:rsidP="009B10A5">
            <w:pPr>
              <w:pStyle w:val="Heading3"/>
              <w:spacing w:before="0" w:after="0"/>
              <w:rPr>
                <w:szCs w:val="20"/>
              </w:rPr>
            </w:pPr>
            <w:r>
              <w:rPr>
                <w:szCs w:val="20"/>
              </w:rPr>
              <w:t>Key Improvement Strategy 1.b</w:t>
            </w:r>
          </w:p>
          <w:p w14:paraId="0CBE013B" w14:textId="77777777" w:rsidR="006C577C" w:rsidRDefault="00147708">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tcPr>
          <w:p w14:paraId="7041E00A" w14:textId="77777777" w:rsidR="007166AE" w:rsidRPr="00FE3D5C" w:rsidRDefault="00147708" w:rsidP="009B10A5">
            <w:pPr>
              <w:pStyle w:val="ESBodyText"/>
              <w:spacing w:after="0"/>
              <w:rPr>
                <w:sz w:val="20"/>
                <w:szCs w:val="24"/>
              </w:rPr>
            </w:pPr>
            <w:r>
              <w:rPr>
                <w:sz w:val="20"/>
              </w:rPr>
              <w:t>Embed structures and practices that assure all students’ learning progression and strengthen learning  pathway</w:t>
            </w:r>
            <w:r>
              <w:rPr>
                <w:sz w:val="20"/>
              </w:rPr>
              <w:t>s from Foundation to Year 12</w:t>
            </w:r>
          </w:p>
        </w:tc>
      </w:tr>
      <w:tr w:rsidR="006C577C" w14:paraId="067EEDFC" w14:textId="77777777" w:rsidTr="009B10A5">
        <w:trPr>
          <w:trHeight w:val="15"/>
        </w:trPr>
        <w:tc>
          <w:tcPr>
            <w:tcW w:w="4055" w:type="dxa"/>
            <w:shd w:val="clear" w:color="auto" w:fill="62BFEB"/>
          </w:tcPr>
          <w:p w14:paraId="7C79758E" w14:textId="77777777" w:rsidR="007166AE" w:rsidRDefault="00147708" w:rsidP="009B10A5">
            <w:pPr>
              <w:pStyle w:val="Heading3"/>
              <w:spacing w:before="0" w:after="0"/>
              <w:rPr>
                <w:szCs w:val="20"/>
              </w:rPr>
            </w:pPr>
            <w:r>
              <w:rPr>
                <w:szCs w:val="20"/>
              </w:rPr>
              <w:t>Key Improvement Strategy 1.c</w:t>
            </w:r>
          </w:p>
          <w:p w14:paraId="5A9FB3E2" w14:textId="77777777" w:rsidR="006C577C" w:rsidRDefault="00147708">
            <w:r>
              <w:rPr>
                <w:sz w:val="20"/>
              </w:rPr>
              <w:t xml:space="preserve">Documented teaching and learning program based on the Victorian Curriculum </w:t>
            </w:r>
            <w:r>
              <w:rPr>
                <w:sz w:val="20"/>
              </w:rPr>
              <w:lastRenderedPageBreak/>
              <w:t xml:space="preserve">and senior secondary pathways, incorporating extra-curricula programs </w:t>
            </w:r>
          </w:p>
        </w:tc>
        <w:tc>
          <w:tcPr>
            <w:tcW w:w="11060" w:type="dxa"/>
            <w:shd w:val="clear" w:color="auto" w:fill="FFFFFF" w:themeFill="background1"/>
          </w:tcPr>
          <w:p w14:paraId="3BC4C323" w14:textId="77777777" w:rsidR="007166AE" w:rsidRPr="00FE3D5C" w:rsidRDefault="00147708" w:rsidP="009B10A5">
            <w:pPr>
              <w:pStyle w:val="ESBodyText"/>
              <w:spacing w:after="0"/>
              <w:rPr>
                <w:sz w:val="20"/>
                <w:szCs w:val="24"/>
              </w:rPr>
            </w:pPr>
            <w:r>
              <w:rPr>
                <w:sz w:val="20"/>
              </w:rPr>
              <w:lastRenderedPageBreak/>
              <w:t xml:space="preserve">Develop evidence-based best practice in curriculum </w:t>
            </w:r>
            <w:r>
              <w:rPr>
                <w:sz w:val="20"/>
              </w:rPr>
              <w:t>planning and pedagogy across the school</w:t>
            </w:r>
          </w:p>
        </w:tc>
      </w:tr>
      <w:tr w:rsidR="006C577C" w14:paraId="7696451D" w14:textId="77777777" w:rsidTr="009B10A5">
        <w:trPr>
          <w:trHeight w:val="15"/>
        </w:trPr>
        <w:tc>
          <w:tcPr>
            <w:tcW w:w="4055" w:type="dxa"/>
            <w:shd w:val="clear" w:color="auto" w:fill="D9D9D9" w:themeFill="background1" w:themeFillShade="D9"/>
          </w:tcPr>
          <w:p w14:paraId="4E7C8EF9" w14:textId="77777777" w:rsidR="007166AE" w:rsidRPr="001C2589" w:rsidRDefault="00147708" w:rsidP="009B10A5">
            <w:pPr>
              <w:pStyle w:val="Heading3"/>
              <w:spacing w:before="0" w:after="0"/>
              <w:rPr>
                <w:sz w:val="24"/>
                <w:szCs w:val="24"/>
              </w:rPr>
            </w:pPr>
            <w:r w:rsidRPr="001C2589">
              <w:rPr>
                <w:sz w:val="24"/>
                <w:szCs w:val="24"/>
              </w:rPr>
              <w:t>Goal 2</w:t>
            </w:r>
          </w:p>
        </w:tc>
        <w:tc>
          <w:tcPr>
            <w:tcW w:w="11060" w:type="dxa"/>
            <w:shd w:val="clear" w:color="auto" w:fill="FFFFFF" w:themeFill="background1"/>
          </w:tcPr>
          <w:p w14:paraId="1B85C9AA" w14:textId="77777777" w:rsidR="007166AE" w:rsidRDefault="00147708" w:rsidP="009B10A5">
            <w:pPr>
              <w:pStyle w:val="ESBodyText"/>
              <w:spacing w:after="0"/>
              <w:rPr>
                <w:sz w:val="20"/>
                <w:szCs w:val="24"/>
              </w:rPr>
            </w:pPr>
            <w:r>
              <w:rPr>
                <w:sz w:val="20"/>
                <w:szCs w:val="24"/>
              </w:rPr>
              <w:t>Improve all students’ wellbeing and engagement in learning</w:t>
            </w:r>
          </w:p>
        </w:tc>
      </w:tr>
      <w:tr w:rsidR="006C577C" w14:paraId="478D2A52" w14:textId="77777777" w:rsidTr="009B10A5">
        <w:trPr>
          <w:trHeight w:val="15"/>
        </w:trPr>
        <w:tc>
          <w:tcPr>
            <w:tcW w:w="4055" w:type="dxa"/>
            <w:shd w:val="clear" w:color="auto" w:fill="D9D9D9" w:themeFill="background1" w:themeFillShade="D9"/>
          </w:tcPr>
          <w:p w14:paraId="7DE658E0" w14:textId="77777777" w:rsidR="007166AE" w:rsidRDefault="00147708" w:rsidP="009B10A5">
            <w:pPr>
              <w:pStyle w:val="Heading3"/>
              <w:spacing w:before="0" w:after="0"/>
              <w:rPr>
                <w:szCs w:val="20"/>
              </w:rPr>
            </w:pPr>
            <w:r>
              <w:rPr>
                <w:szCs w:val="20"/>
              </w:rPr>
              <w:t>Target 2.1</w:t>
            </w:r>
          </w:p>
        </w:tc>
        <w:tc>
          <w:tcPr>
            <w:tcW w:w="11060" w:type="dxa"/>
            <w:shd w:val="clear" w:color="auto" w:fill="FFFFFF" w:themeFill="background1"/>
          </w:tcPr>
          <w:p w14:paraId="08EC8695" w14:textId="77777777" w:rsidR="006C577C" w:rsidRDefault="0014770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VCE/VCE-VM/VPC Completion - Achieve a 100 percent completion level for students who commence their senior secondary </w:t>
            </w:r>
            <w:r>
              <w:rPr>
                <w:rFonts w:ascii="Times New Roman" w:eastAsia="Times New Roman" w:hAnsi="Times New Roman" w:cs="Times New Roman"/>
                <w:color w:val="000000"/>
                <w:sz w:val="24"/>
                <w:szCs w:val="24"/>
              </w:rPr>
              <w:t>certificate course, from 77 percent (VCAL completion in 2020).</w:t>
            </w:r>
          </w:p>
          <w:p w14:paraId="74F3C9AF" w14:textId="77777777" w:rsidR="006C577C" w:rsidRDefault="006C577C"/>
        </w:tc>
      </w:tr>
      <w:tr w:rsidR="006C577C" w14:paraId="5484FC14" w14:textId="77777777" w:rsidTr="009B10A5">
        <w:trPr>
          <w:trHeight w:val="15"/>
        </w:trPr>
        <w:tc>
          <w:tcPr>
            <w:tcW w:w="4055" w:type="dxa"/>
            <w:shd w:val="clear" w:color="auto" w:fill="D9D9D9" w:themeFill="background1" w:themeFillShade="D9"/>
          </w:tcPr>
          <w:p w14:paraId="0D9D6D6D" w14:textId="77777777" w:rsidR="007166AE" w:rsidRDefault="00147708" w:rsidP="009B10A5">
            <w:pPr>
              <w:pStyle w:val="Heading3"/>
              <w:spacing w:before="0" w:after="0"/>
              <w:rPr>
                <w:szCs w:val="20"/>
              </w:rPr>
            </w:pPr>
            <w:r>
              <w:rPr>
                <w:szCs w:val="20"/>
              </w:rPr>
              <w:t>Target 2.2</w:t>
            </w:r>
          </w:p>
        </w:tc>
        <w:tc>
          <w:tcPr>
            <w:tcW w:w="11060" w:type="dxa"/>
            <w:shd w:val="clear" w:color="auto" w:fill="FFFFFF" w:themeFill="background1"/>
          </w:tcPr>
          <w:p w14:paraId="6B7B95B5" w14:textId="77777777" w:rsidR="006C577C" w:rsidRDefault="0014770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increase the positive endorsement on the Attitude to School Survey in the following variables:</w:t>
            </w:r>
          </w:p>
          <w:p w14:paraId="7F2B39E9" w14:textId="77777777" w:rsidR="006C577C" w:rsidRDefault="00147708">
            <w:pPr>
              <w:numPr>
                <w:ilvl w:val="0"/>
                <w:numId w:val="22"/>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concern – from 46 percent (2021) to 60 percent or above</w:t>
            </w:r>
          </w:p>
          <w:p w14:paraId="385994E8" w14:textId="77777777" w:rsidR="006C577C" w:rsidRDefault="00147708">
            <w:pPr>
              <w:numPr>
                <w:ilvl w:val="0"/>
                <w:numId w:val="2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Motivation and interest – from 50 percent (2021) to 65 percent or above</w:t>
            </w:r>
          </w:p>
          <w:p w14:paraId="5FB26C75" w14:textId="77777777" w:rsidR="006C577C" w:rsidRDefault="00147708">
            <w:pPr>
              <w:numPr>
                <w:ilvl w:val="0"/>
                <w:numId w:val="2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confidence – from 46 percent (2021) to 65 percent or above</w:t>
            </w:r>
          </w:p>
          <w:p w14:paraId="5AF7BF16" w14:textId="77777777" w:rsidR="006C577C" w:rsidRDefault="00147708">
            <w:pPr>
              <w:numPr>
                <w:ilvl w:val="0"/>
                <w:numId w:val="2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 voice and agency – from 47 percent (2021) to 60 percent or above</w:t>
            </w:r>
          </w:p>
          <w:p w14:paraId="6D6A8F1F" w14:textId="77777777" w:rsidR="006C577C" w:rsidRDefault="00147708">
            <w:pPr>
              <w:numPr>
                <w:ilvl w:val="0"/>
                <w:numId w:val="22"/>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Self-regulation and goal setting – from 56 </w:t>
            </w:r>
            <w:r>
              <w:rPr>
                <w:rFonts w:ascii="Times New Roman" w:eastAsia="Times New Roman" w:hAnsi="Times New Roman" w:cs="Times New Roman"/>
                <w:color w:val="000000"/>
                <w:sz w:val="24"/>
                <w:szCs w:val="24"/>
              </w:rPr>
              <w:t>percent (2021) to 65 percent or above.</w:t>
            </w:r>
          </w:p>
          <w:p w14:paraId="2C019A30" w14:textId="77777777" w:rsidR="006C577C" w:rsidRDefault="006C577C"/>
        </w:tc>
      </w:tr>
      <w:tr w:rsidR="006C577C" w14:paraId="733071B4" w14:textId="77777777" w:rsidTr="009B10A5">
        <w:trPr>
          <w:trHeight w:val="15"/>
        </w:trPr>
        <w:tc>
          <w:tcPr>
            <w:tcW w:w="4055" w:type="dxa"/>
            <w:shd w:val="clear" w:color="auto" w:fill="D9D9D9" w:themeFill="background1" w:themeFillShade="D9"/>
          </w:tcPr>
          <w:p w14:paraId="0CC7608A" w14:textId="77777777" w:rsidR="007166AE" w:rsidRDefault="00147708" w:rsidP="009B10A5">
            <w:pPr>
              <w:pStyle w:val="Heading3"/>
              <w:spacing w:before="0" w:after="0"/>
              <w:rPr>
                <w:szCs w:val="20"/>
              </w:rPr>
            </w:pPr>
            <w:r>
              <w:rPr>
                <w:szCs w:val="20"/>
              </w:rPr>
              <w:t>Target 2.3</w:t>
            </w:r>
          </w:p>
        </w:tc>
        <w:tc>
          <w:tcPr>
            <w:tcW w:w="11060" w:type="dxa"/>
            <w:shd w:val="clear" w:color="auto" w:fill="FFFFFF" w:themeFill="background1"/>
          </w:tcPr>
          <w:p w14:paraId="57CF365E" w14:textId="77777777" w:rsidR="006C577C" w:rsidRDefault="0014770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increase the positive endorsement on the Parent Opinion Survey in the following variables:</w:t>
            </w:r>
          </w:p>
          <w:p w14:paraId="4365A2BE" w14:textId="77777777" w:rsidR="006C577C" w:rsidRDefault="00147708">
            <w:pPr>
              <w:numPr>
                <w:ilvl w:val="0"/>
                <w:numId w:val="23"/>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School communication – from 63 percent (2021) to 75 percent or above</w:t>
            </w:r>
          </w:p>
          <w:p w14:paraId="2D2130C3" w14:textId="77777777" w:rsidR="006C577C" w:rsidRDefault="00147708">
            <w:pPr>
              <w:numPr>
                <w:ilvl w:val="0"/>
                <w:numId w:val="2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Not experiencing bullying – </w:t>
            </w:r>
            <w:r>
              <w:rPr>
                <w:rFonts w:ascii="Times New Roman" w:eastAsia="Times New Roman" w:hAnsi="Times New Roman" w:cs="Times New Roman"/>
                <w:color w:val="000000"/>
                <w:sz w:val="24"/>
                <w:szCs w:val="24"/>
              </w:rPr>
              <w:t>from 56 percent (2021) to 70 percent or above.</w:t>
            </w:r>
          </w:p>
          <w:p w14:paraId="6D58653B" w14:textId="77777777" w:rsidR="006C577C" w:rsidRDefault="006C577C"/>
        </w:tc>
      </w:tr>
      <w:tr w:rsidR="006C577C" w14:paraId="651EBBF3" w14:textId="77777777" w:rsidTr="009B10A5">
        <w:trPr>
          <w:trHeight w:val="15"/>
        </w:trPr>
        <w:tc>
          <w:tcPr>
            <w:tcW w:w="4055" w:type="dxa"/>
            <w:shd w:val="clear" w:color="auto" w:fill="AF96B4"/>
          </w:tcPr>
          <w:p w14:paraId="24870E8A" w14:textId="77777777" w:rsidR="007166AE" w:rsidRDefault="00147708" w:rsidP="009B10A5">
            <w:pPr>
              <w:pStyle w:val="Heading3"/>
              <w:spacing w:before="0" w:after="0"/>
              <w:rPr>
                <w:szCs w:val="20"/>
              </w:rPr>
            </w:pPr>
            <w:r>
              <w:rPr>
                <w:szCs w:val="20"/>
              </w:rPr>
              <w:t>Key Improvement Strategy 2.a</w:t>
            </w:r>
          </w:p>
          <w:p w14:paraId="6C457941" w14:textId="77777777" w:rsidR="006C577C" w:rsidRDefault="00147708">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tcPr>
          <w:p w14:paraId="4049AA80" w14:textId="77777777" w:rsidR="007166AE" w:rsidRPr="00FE3D5C" w:rsidRDefault="00147708" w:rsidP="009B10A5">
            <w:pPr>
              <w:pStyle w:val="ESBodyText"/>
              <w:spacing w:after="0"/>
              <w:rPr>
                <w:sz w:val="20"/>
                <w:szCs w:val="24"/>
              </w:rPr>
            </w:pPr>
            <w:r>
              <w:rPr>
                <w:sz w:val="20"/>
              </w:rPr>
              <w:t>Strengthen school-wide approaches to</w:t>
            </w:r>
            <w:r>
              <w:rPr>
                <w:sz w:val="20"/>
              </w:rPr>
              <w:t xml:space="preserve"> student wellbeing</w:t>
            </w:r>
          </w:p>
        </w:tc>
      </w:tr>
      <w:tr w:rsidR="006C577C" w14:paraId="379EF9E1" w14:textId="77777777" w:rsidTr="009B10A5">
        <w:trPr>
          <w:trHeight w:val="15"/>
        </w:trPr>
        <w:tc>
          <w:tcPr>
            <w:tcW w:w="4055" w:type="dxa"/>
            <w:shd w:val="clear" w:color="auto" w:fill="AF96B4"/>
          </w:tcPr>
          <w:p w14:paraId="671D561B" w14:textId="77777777" w:rsidR="007166AE" w:rsidRDefault="00147708" w:rsidP="009B10A5">
            <w:pPr>
              <w:pStyle w:val="Heading3"/>
              <w:spacing w:before="0" w:after="0"/>
              <w:rPr>
                <w:szCs w:val="20"/>
              </w:rPr>
            </w:pPr>
            <w:r>
              <w:rPr>
                <w:szCs w:val="20"/>
              </w:rPr>
              <w:lastRenderedPageBreak/>
              <w:t>Key Improvement Strategy 2.b</w:t>
            </w:r>
          </w:p>
          <w:p w14:paraId="6B7D3B2C" w14:textId="77777777" w:rsidR="006C577C" w:rsidRDefault="00147708">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tcPr>
          <w:p w14:paraId="3E54005E" w14:textId="77777777" w:rsidR="007166AE" w:rsidRPr="00FE3D5C" w:rsidRDefault="00147708" w:rsidP="009B10A5">
            <w:pPr>
              <w:pStyle w:val="ESBodyText"/>
              <w:spacing w:after="0"/>
              <w:rPr>
                <w:sz w:val="20"/>
                <w:szCs w:val="24"/>
              </w:rPr>
            </w:pPr>
            <w:r>
              <w:rPr>
                <w:sz w:val="20"/>
              </w:rPr>
              <w:t>Empower students as engaged and active learners</w:t>
            </w:r>
          </w:p>
        </w:tc>
      </w:tr>
    </w:tbl>
    <w:p w14:paraId="68E4FD82" w14:textId="77777777" w:rsidR="007166AE" w:rsidRPr="00FA10DB" w:rsidRDefault="00147708" w:rsidP="007166AE">
      <w:pPr>
        <w:ind w:right="-632"/>
        <w:rPr>
          <w:b/>
          <w:color w:val="AF272F"/>
          <w:sz w:val="36"/>
          <w:szCs w:val="44"/>
        </w:rPr>
      </w:pPr>
    </w:p>
    <w:p w14:paraId="33DE5D16" w14:textId="77777777" w:rsidR="006C577C" w:rsidRDefault="006C577C"/>
    <w:p w14:paraId="74A5EE4E" w14:textId="77777777" w:rsidR="006C577C" w:rsidRDefault="006C577C"/>
    <w:sectPr w:rsidR="006C577C" w:rsidSect="00D54DF3">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BA19" w14:textId="77777777" w:rsidR="0059431F" w:rsidRDefault="0059431F">
      <w:pPr>
        <w:spacing w:after="0" w:line="240" w:lineRule="auto"/>
      </w:pPr>
      <w:r>
        <w:separator/>
      </w:r>
    </w:p>
  </w:endnote>
  <w:endnote w:type="continuationSeparator" w:id="0">
    <w:p w14:paraId="52453D73" w14:textId="77777777" w:rsidR="0059431F" w:rsidRDefault="0059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9AB7" w14:textId="77777777" w:rsidR="007166AE" w:rsidRDefault="00147708"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8BA2510" w14:textId="77777777" w:rsidR="007166AE" w:rsidRDefault="00147708"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015B" w14:textId="77777777" w:rsidR="007166AE" w:rsidRPr="003E29B5" w:rsidRDefault="00147708" w:rsidP="00B076DB">
    <w:r w:rsidRPr="000C104E">
      <w:rPr>
        <w:noProof/>
        <w:lang w:val="en-AU" w:eastAsia="en-AU"/>
      </w:rPr>
      <w:drawing>
        <wp:anchor distT="0" distB="0" distL="114300" distR="114300" simplePos="0" relativeHeight="251674624" behindDoc="1" locked="0" layoutInCell="1" allowOverlap="1" wp14:anchorId="60A89D61" wp14:editId="3FAA8B79">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262D" w14:textId="77777777" w:rsidR="007166AE" w:rsidRPr="007839E6" w:rsidRDefault="00147708" w:rsidP="00362A9C">
    <w:pPr>
      <w:pStyle w:val="ESImageorGraphTitle"/>
      <w:rPr>
        <w:b w:val="0"/>
        <w:sz w:val="15"/>
        <w:szCs w:val="15"/>
      </w:rPr>
    </w:pPr>
    <w:r w:rsidRPr="007839E6">
      <w:rPr>
        <w:b w:val="0"/>
        <w:noProof/>
        <w:sz w:val="15"/>
        <w:szCs w:val="15"/>
      </w:rPr>
      <w:t>Manangatang P-12 College (6235)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42F01DC6" wp14:editId="10B3040F">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6E454704" w14:textId="77777777" w:rsidR="007166AE" w:rsidRPr="007B2B29" w:rsidRDefault="00147708"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8E58" w14:textId="77777777" w:rsidR="007B2B29" w:rsidRPr="00793BFC" w:rsidRDefault="00147708" w:rsidP="00793BFC">
    <w:pPr>
      <w:pStyle w:val="ESSubheading1"/>
      <w:ind w:firstLine="567"/>
      <w:rPr>
        <w:sz w:val="15"/>
        <w:szCs w:val="15"/>
      </w:rPr>
    </w:pPr>
    <w:r w:rsidRPr="00793BFC">
      <w:rPr>
        <w:noProof/>
        <w:sz w:val="15"/>
        <w:szCs w:val="15"/>
      </w:rPr>
      <w:t>Manangatang P-12 College (6235) - School Strategic Plan</w:t>
    </w:r>
    <w:r w:rsidRPr="00793BFC">
      <w:rPr>
        <w:noProof/>
        <w:sz w:val="15"/>
        <w:szCs w:val="15"/>
      </w:rPr>
      <w:drawing>
        <wp:anchor distT="0" distB="0" distL="114300" distR="114300" simplePos="0" relativeHeight="251663360" behindDoc="1" locked="0" layoutInCell="1" allowOverlap="1" wp14:anchorId="7BED96B5" wp14:editId="64BBA8F8">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3BF29A7D" w14:textId="77777777" w:rsidR="007B2B29" w:rsidRPr="007B2B29" w:rsidRDefault="00147708"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F4B1" w14:textId="77777777" w:rsidR="0059431F" w:rsidRDefault="0059431F">
      <w:pPr>
        <w:spacing w:after="0" w:line="240" w:lineRule="auto"/>
      </w:pPr>
      <w:r>
        <w:separator/>
      </w:r>
    </w:p>
  </w:footnote>
  <w:footnote w:type="continuationSeparator" w:id="0">
    <w:p w14:paraId="703637A0" w14:textId="77777777" w:rsidR="0059431F" w:rsidRDefault="00594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F5B1" w14:textId="77777777" w:rsidR="007166AE" w:rsidRDefault="00147708">
    <w:r>
      <w:rPr>
        <w:noProof/>
      </w:rPr>
      <mc:AlternateContent>
        <mc:Choice Requires="wps">
          <w:drawing>
            <wp:anchor distT="0" distB="0" distL="114300" distR="114300" simplePos="0" relativeHeight="251666432" behindDoc="0" locked="0" layoutInCell="1" allowOverlap="1" wp14:anchorId="23AB5D49" wp14:editId="00268880">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C7C61B0" w14:textId="77777777" w:rsidR="007166AE" w:rsidRDefault="00147708"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3AB5D49" id="_x0000_t202" coordsize="21600,21600" o:spt="202" path="m,l,21600r21600,l21600,xe">
              <v:stroke joinstyle="miter"/>
              <v:path gradientshapeok="t" o:connecttype="rect"/>
            </v:shapetype>
            <v:shape id="Text Box 15" o:spid="_x0000_s1027" type="#_x0000_t202" style="position:absolute;margin-left:0;margin-top:0;width:500pt;height:180pt;rotation:-40;z-index:25166643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7C7C61B0" w14:textId="77777777" w:rsidR="007166AE" w:rsidRDefault="00147708"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8133" w14:textId="77777777" w:rsidR="007166AE" w:rsidRDefault="00147708">
    <w:pPr>
      <w:pStyle w:val="Header"/>
    </w:pPr>
    <w:r w:rsidRPr="000C104E">
      <w:rPr>
        <w:noProof/>
        <w:lang w:val="en-AU" w:eastAsia="en-AU"/>
      </w:rPr>
      <w:drawing>
        <wp:anchor distT="0" distB="0" distL="114300" distR="114300" simplePos="0" relativeHeight="251672576" behindDoc="1" locked="0" layoutInCell="1" allowOverlap="1" wp14:anchorId="614F34D8" wp14:editId="36AB31F7">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7A66183" w14:textId="77777777" w:rsidR="007166AE" w:rsidRDefault="001477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1D0" w14:textId="77777777" w:rsidR="007166AE" w:rsidRDefault="00147708">
    <w:r>
      <w:rPr>
        <w:noProof/>
      </w:rPr>
      <mc:AlternateContent>
        <mc:Choice Requires="wps">
          <w:drawing>
            <wp:anchor distT="0" distB="0" distL="114300" distR="114300" simplePos="0" relativeHeight="251664384" behindDoc="0" locked="0" layoutInCell="1" allowOverlap="1" wp14:anchorId="0CB576C1" wp14:editId="28997CC4">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DF421B5" w14:textId="77777777" w:rsidR="007166AE" w:rsidRDefault="00147708"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CB576C1" id="_x0000_t202" coordsize="21600,21600" o:spt="202" path="m,l,21600r21600,l21600,xe">
              <v:stroke joinstyle="miter"/>
              <v:path gradientshapeok="t" o:connecttype="rect"/>
            </v:shapetype>
            <v:shape id="Text Box 14" o:spid="_x0000_s1028" type="#_x0000_t202" style="position:absolute;margin-left:0;margin-top:0;width:500pt;height:180pt;rotation:-40;z-index:25166438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3DF421B5" w14:textId="77777777" w:rsidR="007166AE" w:rsidRDefault="00147708"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5790" w14:textId="77777777" w:rsidR="007166AE" w:rsidRDefault="00147708">
    <w:r>
      <w:rPr>
        <w:noProof/>
        <w:lang w:val="en-AU" w:eastAsia="en-AU"/>
      </w:rPr>
      <mc:AlternateContent>
        <mc:Choice Requires="wps">
          <w:drawing>
            <wp:anchor distT="0" distB="0" distL="114300" distR="114300" simplePos="0" relativeHeight="251670528" behindDoc="0" locked="0" layoutInCell="1" allowOverlap="1" wp14:anchorId="23543CF4" wp14:editId="71B316A2">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978C211" w14:textId="77777777" w:rsidR="007166AE" w:rsidRDefault="0014770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3543CF4" id="_x0000_t202" coordsize="21600,21600" o:spt="202" path="m,l,21600r21600,l21600,xe">
              <v:stroke joinstyle="miter"/>
              <v:path gradientshapeok="t" o:connecttype="rect"/>
            </v:shapetype>
            <v:shape id="Text Box 5" o:spid="_x0000_s1029" type="#_x0000_t202" style="position:absolute;margin-left:0;margin-top:0;width:500pt;height:180pt;rotation:-40;z-index:25167052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fE9QEAAMw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qhE2hivkN9Yu49G6WS4ecByPAcDvYW2Vcsvia0z+zEDWX1ZwLb&#10;4RnITxQis3/szkbJPLJjtHBg00D0dwayHfvvCJ0YFY5Mp2SWlziPqKk2+A1P8b7Ngl54ToLYMnkk&#10;k72TJ3//zlkvP+H6F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OnXHxPUBAADMAwAADgAAAAAAAAAAAAAAAAAuAgAAZHJzL2Uy&#10;b0RvYy54bWxQSwECLQAUAAYACAAAACEAA06AwtkAAAAGAQAADwAAAAAAAAAAAAAAAABPBAAAZHJz&#10;L2Rvd25yZXYueG1sUEsFBgAAAAAEAAQA8wAAAFUFAAAAAA==&#10;" filled="f" stroked="f">
              <o:lock v:ext="edit" shapetype="t"/>
              <v:textbox style="mso-fit-shape-to-text:t">
                <w:txbxContent>
                  <w:p w14:paraId="6978C211" w14:textId="77777777" w:rsidR="007166AE" w:rsidRDefault="0014770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AA63" w14:textId="77777777" w:rsidR="007166AE" w:rsidRDefault="00147708">
    <w:r w:rsidRPr="000C104E">
      <w:rPr>
        <w:noProof/>
        <w:lang w:val="en-AU" w:eastAsia="en-AU"/>
      </w:rPr>
      <w:drawing>
        <wp:anchor distT="0" distB="0" distL="114300" distR="114300" simplePos="0" relativeHeight="251673600" behindDoc="1" locked="0" layoutInCell="1" allowOverlap="1" wp14:anchorId="7E783551" wp14:editId="64A256FD">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2633" w14:textId="77777777" w:rsidR="007166AE" w:rsidRDefault="00147708">
    <w:r>
      <w:rPr>
        <w:noProof/>
        <w:lang w:val="en-AU" w:eastAsia="en-AU"/>
      </w:rPr>
      <mc:AlternateContent>
        <mc:Choice Requires="wps">
          <w:drawing>
            <wp:anchor distT="0" distB="0" distL="114300" distR="114300" simplePos="0" relativeHeight="251668480" behindDoc="0" locked="0" layoutInCell="1" allowOverlap="1" wp14:anchorId="3EAF5FBB" wp14:editId="68F8702F">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1D03D36" w14:textId="77777777" w:rsidR="007166AE" w:rsidRDefault="0014770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EAF5FBB" id="_x0000_t202" coordsize="21600,21600" o:spt="202" path="m,l,21600r21600,l21600,xe">
              <v:stroke joinstyle="miter"/>
              <v:path gradientshapeok="t" o:connecttype="rect"/>
            </v:shapetype>
            <v:shape id="Text Box 12" o:spid="_x0000_s1030" type="#_x0000_t202" style="position:absolute;margin-left:0;margin-top:0;width:500pt;height:180pt;rotation:-40;z-index:25166848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K4pBpv2AQAAzAMAAA4AAAAAAAAAAAAAAAAALgIAAGRycy9l&#10;Mm9Eb2MueG1sUEsBAi0AFAAGAAgAAAAhAANOgMLZAAAABgEAAA8AAAAAAAAAAAAAAAAAUAQAAGRy&#10;cy9kb3ducmV2LnhtbFBLBQYAAAAABAAEAPMAAABWBQAAAAA=&#10;" filled="f" stroked="f">
              <o:lock v:ext="edit" shapetype="t"/>
              <v:textbox style="mso-fit-shape-to-text:t">
                <w:txbxContent>
                  <w:p w14:paraId="71D03D36" w14:textId="77777777" w:rsidR="007166AE" w:rsidRDefault="0014770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C60A" w14:textId="77777777" w:rsidR="00180DD4" w:rsidRDefault="00147708">
    <w:r>
      <w:rPr>
        <w:noProof/>
      </w:rPr>
      <mc:AlternateContent>
        <mc:Choice Requires="wps">
          <w:drawing>
            <wp:anchor distT="0" distB="0" distL="114300" distR="114300" simplePos="0" relativeHeight="251660288" behindDoc="0" locked="0" layoutInCell="1" allowOverlap="1" wp14:anchorId="1DF4A074" wp14:editId="4CBC52C3">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EF0F3A9" w14:textId="77777777" w:rsidR="00C259B6" w:rsidRDefault="0014770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DF4A074" id="_x0000_t202" coordsize="21600,21600" o:spt="202" path="m,l,21600r21600,l21600,xe">
              <v:stroke joinstyle="miter"/>
              <v:path gradientshapeok="t" o:connecttype="rect"/>
            </v:shapetype>
            <v:shape id="Text Box 7" o:spid="_x0000_s1031"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AO4Md/2AQAAzAMAAA4AAAAAAAAAAAAAAAAALgIAAGRycy9l&#10;Mm9Eb2MueG1sUEsBAi0AFAAGAAgAAAAhAANOgMLZAAAABgEAAA8AAAAAAAAAAAAAAAAAUAQAAGRy&#10;cy9kb3ducmV2LnhtbFBLBQYAAAAABAAEAPMAAABWBQAAAAA=&#10;" filled="f" stroked="f">
              <o:lock v:ext="edit" shapetype="t"/>
              <v:textbox style="mso-fit-shape-to-text:t">
                <w:txbxContent>
                  <w:p w14:paraId="2EF0F3A9" w14:textId="77777777" w:rsidR="00C259B6" w:rsidRDefault="0014770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C19F" w14:textId="77777777" w:rsidR="000F4C22" w:rsidRPr="003E29B5" w:rsidRDefault="00147708" w:rsidP="008766A4">
    <w:r w:rsidRPr="000C104E">
      <w:rPr>
        <w:noProof/>
      </w:rPr>
      <w:drawing>
        <wp:anchor distT="0" distB="0" distL="114300" distR="114300" simplePos="0" relativeHeight="251662336" behindDoc="1" locked="0" layoutInCell="1" allowOverlap="1" wp14:anchorId="6FBFEDC3" wp14:editId="31113366">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61EBC84" w14:textId="77777777" w:rsidR="00180DD4" w:rsidRDefault="0014770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7B2A" w14:textId="77777777" w:rsidR="00180DD4" w:rsidRDefault="00147708">
    <w:r>
      <w:rPr>
        <w:noProof/>
      </w:rPr>
      <mc:AlternateContent>
        <mc:Choice Requires="wps">
          <w:drawing>
            <wp:anchor distT="0" distB="0" distL="114300" distR="114300" simplePos="0" relativeHeight="251658240" behindDoc="0" locked="0" layoutInCell="1" allowOverlap="1" wp14:anchorId="0E4E1ED1" wp14:editId="660100E7">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E7A107F" w14:textId="77777777" w:rsidR="00C259B6" w:rsidRDefault="0014770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E4E1ED1" id="_x0000_t202" coordsize="21600,21600" o:spt="202" path="m,l,21600r21600,l21600,xe">
              <v:stroke joinstyle="miter"/>
              <v:path gradientshapeok="t" o:connecttype="rect"/>
            </v:shapetype>
            <v:shape id="_x0000_s1032"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Jfk8ID2AQAAzAMAAA4AAAAAAAAAAAAAAAAALgIAAGRycy9l&#10;Mm9Eb2MueG1sUEsBAi0AFAAGAAgAAAAhAANOgMLZAAAABgEAAA8AAAAAAAAAAAAAAAAAUAQAAGRy&#10;cy9kb3ducmV2LnhtbFBLBQYAAAAABAAEAPMAAABWBQAAAAA=&#10;" filled="f" stroked="f">
              <o:lock v:ext="edit" shapetype="t"/>
              <v:textbox style="mso-fit-shape-to-text:t">
                <w:txbxContent>
                  <w:p w14:paraId="2E7A107F" w14:textId="77777777" w:rsidR="00C259B6" w:rsidRDefault="0014770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58F0553A">
      <w:start w:val="1"/>
      <w:numFmt w:val="bullet"/>
      <w:pStyle w:val="ESBulletsinTable"/>
      <w:lvlText w:val=""/>
      <w:lvlJc w:val="left"/>
      <w:pPr>
        <w:ind w:left="360" w:hanging="360"/>
      </w:pPr>
      <w:rPr>
        <w:rFonts w:ascii="Symbol" w:hAnsi="Symbol" w:hint="default"/>
        <w:color w:val="AF272F"/>
      </w:rPr>
    </w:lvl>
    <w:lvl w:ilvl="1" w:tplc="185CE5AE">
      <w:start w:val="1"/>
      <w:numFmt w:val="bullet"/>
      <w:pStyle w:val="ESBulletsinTableLevel2"/>
      <w:lvlText w:val="o"/>
      <w:lvlJc w:val="left"/>
      <w:pPr>
        <w:ind w:left="1440" w:hanging="360"/>
      </w:pPr>
      <w:rPr>
        <w:rFonts w:ascii="Courier New" w:hAnsi="Courier New" w:cs="Courier New" w:hint="default"/>
      </w:rPr>
    </w:lvl>
    <w:lvl w:ilvl="2" w:tplc="CD70B61E" w:tentative="1">
      <w:start w:val="1"/>
      <w:numFmt w:val="bullet"/>
      <w:lvlText w:val=""/>
      <w:lvlJc w:val="left"/>
      <w:pPr>
        <w:ind w:left="2160" w:hanging="360"/>
      </w:pPr>
      <w:rPr>
        <w:rFonts w:ascii="Wingdings" w:hAnsi="Wingdings" w:hint="default"/>
      </w:rPr>
    </w:lvl>
    <w:lvl w:ilvl="3" w:tplc="45BA768E" w:tentative="1">
      <w:start w:val="1"/>
      <w:numFmt w:val="bullet"/>
      <w:lvlText w:val=""/>
      <w:lvlJc w:val="left"/>
      <w:pPr>
        <w:ind w:left="2880" w:hanging="360"/>
      </w:pPr>
      <w:rPr>
        <w:rFonts w:ascii="Symbol" w:hAnsi="Symbol" w:hint="default"/>
      </w:rPr>
    </w:lvl>
    <w:lvl w:ilvl="4" w:tplc="B7B64336" w:tentative="1">
      <w:start w:val="1"/>
      <w:numFmt w:val="bullet"/>
      <w:lvlText w:val="o"/>
      <w:lvlJc w:val="left"/>
      <w:pPr>
        <w:ind w:left="3600" w:hanging="360"/>
      </w:pPr>
      <w:rPr>
        <w:rFonts w:ascii="Courier New" w:hAnsi="Courier New" w:cs="Courier New" w:hint="default"/>
      </w:rPr>
    </w:lvl>
    <w:lvl w:ilvl="5" w:tplc="E084ABA0" w:tentative="1">
      <w:start w:val="1"/>
      <w:numFmt w:val="bullet"/>
      <w:lvlText w:val=""/>
      <w:lvlJc w:val="left"/>
      <w:pPr>
        <w:ind w:left="4320" w:hanging="360"/>
      </w:pPr>
      <w:rPr>
        <w:rFonts w:ascii="Wingdings" w:hAnsi="Wingdings" w:hint="default"/>
      </w:rPr>
    </w:lvl>
    <w:lvl w:ilvl="6" w:tplc="AD2C0E0E" w:tentative="1">
      <w:start w:val="1"/>
      <w:numFmt w:val="bullet"/>
      <w:lvlText w:val=""/>
      <w:lvlJc w:val="left"/>
      <w:pPr>
        <w:ind w:left="5040" w:hanging="360"/>
      </w:pPr>
      <w:rPr>
        <w:rFonts w:ascii="Symbol" w:hAnsi="Symbol" w:hint="default"/>
      </w:rPr>
    </w:lvl>
    <w:lvl w:ilvl="7" w:tplc="AE486DE6" w:tentative="1">
      <w:start w:val="1"/>
      <w:numFmt w:val="bullet"/>
      <w:lvlText w:val="o"/>
      <w:lvlJc w:val="left"/>
      <w:pPr>
        <w:ind w:left="5760" w:hanging="360"/>
      </w:pPr>
      <w:rPr>
        <w:rFonts w:ascii="Courier New" w:hAnsi="Courier New" w:cs="Courier New" w:hint="default"/>
      </w:rPr>
    </w:lvl>
    <w:lvl w:ilvl="8" w:tplc="691A6118"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301C14D4">
      <w:start w:val="1"/>
      <w:numFmt w:val="bullet"/>
      <w:lvlText w:val=""/>
      <w:lvlJc w:val="left"/>
      <w:pPr>
        <w:ind w:left="720" w:hanging="360"/>
      </w:pPr>
      <w:rPr>
        <w:rFonts w:ascii="Symbol" w:hAnsi="Symbol"/>
      </w:rPr>
    </w:lvl>
    <w:lvl w:ilvl="1" w:tplc="4FE09AC8">
      <w:start w:val="1"/>
      <w:numFmt w:val="bullet"/>
      <w:lvlText w:val="o"/>
      <w:lvlJc w:val="left"/>
      <w:pPr>
        <w:tabs>
          <w:tab w:val="num" w:pos="1440"/>
        </w:tabs>
        <w:ind w:left="1440" w:hanging="360"/>
      </w:pPr>
      <w:rPr>
        <w:rFonts w:ascii="Courier New" w:hAnsi="Courier New"/>
      </w:rPr>
    </w:lvl>
    <w:lvl w:ilvl="2" w:tplc="77266092">
      <w:start w:val="1"/>
      <w:numFmt w:val="bullet"/>
      <w:lvlText w:val=""/>
      <w:lvlJc w:val="left"/>
      <w:pPr>
        <w:tabs>
          <w:tab w:val="num" w:pos="2160"/>
        </w:tabs>
        <w:ind w:left="2160" w:hanging="360"/>
      </w:pPr>
      <w:rPr>
        <w:rFonts w:ascii="Wingdings" w:hAnsi="Wingdings"/>
      </w:rPr>
    </w:lvl>
    <w:lvl w:ilvl="3" w:tplc="1752FFEE">
      <w:start w:val="1"/>
      <w:numFmt w:val="bullet"/>
      <w:lvlText w:val=""/>
      <w:lvlJc w:val="left"/>
      <w:pPr>
        <w:tabs>
          <w:tab w:val="num" w:pos="2880"/>
        </w:tabs>
        <w:ind w:left="2880" w:hanging="360"/>
      </w:pPr>
      <w:rPr>
        <w:rFonts w:ascii="Symbol" w:hAnsi="Symbol"/>
      </w:rPr>
    </w:lvl>
    <w:lvl w:ilvl="4" w:tplc="EF542F0E">
      <w:start w:val="1"/>
      <w:numFmt w:val="bullet"/>
      <w:lvlText w:val="o"/>
      <w:lvlJc w:val="left"/>
      <w:pPr>
        <w:tabs>
          <w:tab w:val="num" w:pos="3600"/>
        </w:tabs>
        <w:ind w:left="3600" w:hanging="360"/>
      </w:pPr>
      <w:rPr>
        <w:rFonts w:ascii="Courier New" w:hAnsi="Courier New"/>
      </w:rPr>
    </w:lvl>
    <w:lvl w:ilvl="5" w:tplc="9C42287C">
      <w:start w:val="1"/>
      <w:numFmt w:val="bullet"/>
      <w:lvlText w:val=""/>
      <w:lvlJc w:val="left"/>
      <w:pPr>
        <w:tabs>
          <w:tab w:val="num" w:pos="4320"/>
        </w:tabs>
        <w:ind w:left="4320" w:hanging="360"/>
      </w:pPr>
      <w:rPr>
        <w:rFonts w:ascii="Wingdings" w:hAnsi="Wingdings"/>
      </w:rPr>
    </w:lvl>
    <w:lvl w:ilvl="6" w:tplc="92820254">
      <w:start w:val="1"/>
      <w:numFmt w:val="bullet"/>
      <w:lvlText w:val=""/>
      <w:lvlJc w:val="left"/>
      <w:pPr>
        <w:tabs>
          <w:tab w:val="num" w:pos="5040"/>
        </w:tabs>
        <w:ind w:left="5040" w:hanging="360"/>
      </w:pPr>
      <w:rPr>
        <w:rFonts w:ascii="Symbol" w:hAnsi="Symbol"/>
      </w:rPr>
    </w:lvl>
    <w:lvl w:ilvl="7" w:tplc="BBD21F76">
      <w:start w:val="1"/>
      <w:numFmt w:val="bullet"/>
      <w:lvlText w:val="o"/>
      <w:lvlJc w:val="left"/>
      <w:pPr>
        <w:tabs>
          <w:tab w:val="num" w:pos="5760"/>
        </w:tabs>
        <w:ind w:left="5760" w:hanging="360"/>
      </w:pPr>
      <w:rPr>
        <w:rFonts w:ascii="Courier New" w:hAnsi="Courier New"/>
      </w:rPr>
    </w:lvl>
    <w:lvl w:ilvl="8" w:tplc="6DAE24EE">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92868ACC">
      <w:start w:val="1"/>
      <w:numFmt w:val="bullet"/>
      <w:lvlText w:val=""/>
      <w:lvlJc w:val="left"/>
      <w:pPr>
        <w:ind w:left="720" w:hanging="360"/>
      </w:pPr>
      <w:rPr>
        <w:rFonts w:ascii="Symbol" w:hAnsi="Symbol"/>
      </w:rPr>
    </w:lvl>
    <w:lvl w:ilvl="1" w:tplc="258854F8">
      <w:start w:val="1"/>
      <w:numFmt w:val="bullet"/>
      <w:lvlText w:val="o"/>
      <w:lvlJc w:val="left"/>
      <w:pPr>
        <w:tabs>
          <w:tab w:val="num" w:pos="1440"/>
        </w:tabs>
        <w:ind w:left="1440" w:hanging="360"/>
      </w:pPr>
      <w:rPr>
        <w:rFonts w:ascii="Courier New" w:hAnsi="Courier New"/>
      </w:rPr>
    </w:lvl>
    <w:lvl w:ilvl="2" w:tplc="46CC88F4">
      <w:start w:val="1"/>
      <w:numFmt w:val="bullet"/>
      <w:lvlText w:val=""/>
      <w:lvlJc w:val="left"/>
      <w:pPr>
        <w:tabs>
          <w:tab w:val="num" w:pos="2160"/>
        </w:tabs>
        <w:ind w:left="2160" w:hanging="360"/>
      </w:pPr>
      <w:rPr>
        <w:rFonts w:ascii="Wingdings" w:hAnsi="Wingdings"/>
      </w:rPr>
    </w:lvl>
    <w:lvl w:ilvl="3" w:tplc="5BF8D526">
      <w:start w:val="1"/>
      <w:numFmt w:val="bullet"/>
      <w:lvlText w:val=""/>
      <w:lvlJc w:val="left"/>
      <w:pPr>
        <w:tabs>
          <w:tab w:val="num" w:pos="2880"/>
        </w:tabs>
        <w:ind w:left="2880" w:hanging="360"/>
      </w:pPr>
      <w:rPr>
        <w:rFonts w:ascii="Symbol" w:hAnsi="Symbol"/>
      </w:rPr>
    </w:lvl>
    <w:lvl w:ilvl="4" w:tplc="8E84F864">
      <w:start w:val="1"/>
      <w:numFmt w:val="bullet"/>
      <w:lvlText w:val="o"/>
      <w:lvlJc w:val="left"/>
      <w:pPr>
        <w:tabs>
          <w:tab w:val="num" w:pos="3600"/>
        </w:tabs>
        <w:ind w:left="3600" w:hanging="360"/>
      </w:pPr>
      <w:rPr>
        <w:rFonts w:ascii="Courier New" w:hAnsi="Courier New"/>
      </w:rPr>
    </w:lvl>
    <w:lvl w:ilvl="5" w:tplc="D94CF070">
      <w:start w:val="1"/>
      <w:numFmt w:val="bullet"/>
      <w:lvlText w:val=""/>
      <w:lvlJc w:val="left"/>
      <w:pPr>
        <w:tabs>
          <w:tab w:val="num" w:pos="4320"/>
        </w:tabs>
        <w:ind w:left="4320" w:hanging="360"/>
      </w:pPr>
      <w:rPr>
        <w:rFonts w:ascii="Wingdings" w:hAnsi="Wingdings"/>
      </w:rPr>
    </w:lvl>
    <w:lvl w:ilvl="6" w:tplc="91FE51AC">
      <w:start w:val="1"/>
      <w:numFmt w:val="bullet"/>
      <w:lvlText w:val=""/>
      <w:lvlJc w:val="left"/>
      <w:pPr>
        <w:tabs>
          <w:tab w:val="num" w:pos="5040"/>
        </w:tabs>
        <w:ind w:left="5040" w:hanging="360"/>
      </w:pPr>
      <w:rPr>
        <w:rFonts w:ascii="Symbol" w:hAnsi="Symbol"/>
      </w:rPr>
    </w:lvl>
    <w:lvl w:ilvl="7" w:tplc="CD90BE2E">
      <w:start w:val="1"/>
      <w:numFmt w:val="bullet"/>
      <w:lvlText w:val="o"/>
      <w:lvlJc w:val="left"/>
      <w:pPr>
        <w:tabs>
          <w:tab w:val="num" w:pos="5760"/>
        </w:tabs>
        <w:ind w:left="5760" w:hanging="360"/>
      </w:pPr>
      <w:rPr>
        <w:rFonts w:ascii="Courier New" w:hAnsi="Courier New"/>
      </w:rPr>
    </w:lvl>
    <w:lvl w:ilvl="8" w:tplc="66F06142">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A4608828">
      <w:start w:val="1"/>
      <w:numFmt w:val="bullet"/>
      <w:lvlText w:val=""/>
      <w:lvlJc w:val="left"/>
      <w:pPr>
        <w:ind w:left="720" w:hanging="360"/>
      </w:pPr>
      <w:rPr>
        <w:rFonts w:ascii="Symbol" w:hAnsi="Symbol"/>
      </w:rPr>
    </w:lvl>
    <w:lvl w:ilvl="1" w:tplc="E47051D8">
      <w:start w:val="1"/>
      <w:numFmt w:val="bullet"/>
      <w:lvlText w:val="o"/>
      <w:lvlJc w:val="left"/>
      <w:pPr>
        <w:tabs>
          <w:tab w:val="num" w:pos="1440"/>
        </w:tabs>
        <w:ind w:left="1440" w:hanging="360"/>
      </w:pPr>
      <w:rPr>
        <w:rFonts w:ascii="Courier New" w:hAnsi="Courier New"/>
      </w:rPr>
    </w:lvl>
    <w:lvl w:ilvl="2" w:tplc="2872F06A">
      <w:start w:val="1"/>
      <w:numFmt w:val="bullet"/>
      <w:lvlText w:val=""/>
      <w:lvlJc w:val="left"/>
      <w:pPr>
        <w:tabs>
          <w:tab w:val="num" w:pos="2160"/>
        </w:tabs>
        <w:ind w:left="2160" w:hanging="360"/>
      </w:pPr>
      <w:rPr>
        <w:rFonts w:ascii="Wingdings" w:hAnsi="Wingdings"/>
      </w:rPr>
    </w:lvl>
    <w:lvl w:ilvl="3" w:tplc="B4C6AD6E">
      <w:start w:val="1"/>
      <w:numFmt w:val="bullet"/>
      <w:lvlText w:val=""/>
      <w:lvlJc w:val="left"/>
      <w:pPr>
        <w:tabs>
          <w:tab w:val="num" w:pos="2880"/>
        </w:tabs>
        <w:ind w:left="2880" w:hanging="360"/>
      </w:pPr>
      <w:rPr>
        <w:rFonts w:ascii="Symbol" w:hAnsi="Symbol"/>
      </w:rPr>
    </w:lvl>
    <w:lvl w:ilvl="4" w:tplc="08422852">
      <w:start w:val="1"/>
      <w:numFmt w:val="bullet"/>
      <w:lvlText w:val="o"/>
      <w:lvlJc w:val="left"/>
      <w:pPr>
        <w:tabs>
          <w:tab w:val="num" w:pos="3600"/>
        </w:tabs>
        <w:ind w:left="3600" w:hanging="360"/>
      </w:pPr>
      <w:rPr>
        <w:rFonts w:ascii="Courier New" w:hAnsi="Courier New"/>
      </w:rPr>
    </w:lvl>
    <w:lvl w:ilvl="5" w:tplc="3248703A">
      <w:start w:val="1"/>
      <w:numFmt w:val="bullet"/>
      <w:lvlText w:val=""/>
      <w:lvlJc w:val="left"/>
      <w:pPr>
        <w:tabs>
          <w:tab w:val="num" w:pos="4320"/>
        </w:tabs>
        <w:ind w:left="4320" w:hanging="360"/>
      </w:pPr>
      <w:rPr>
        <w:rFonts w:ascii="Wingdings" w:hAnsi="Wingdings"/>
      </w:rPr>
    </w:lvl>
    <w:lvl w:ilvl="6" w:tplc="03960D66">
      <w:start w:val="1"/>
      <w:numFmt w:val="bullet"/>
      <w:lvlText w:val=""/>
      <w:lvlJc w:val="left"/>
      <w:pPr>
        <w:tabs>
          <w:tab w:val="num" w:pos="5040"/>
        </w:tabs>
        <w:ind w:left="5040" w:hanging="360"/>
      </w:pPr>
      <w:rPr>
        <w:rFonts w:ascii="Symbol" w:hAnsi="Symbol"/>
      </w:rPr>
    </w:lvl>
    <w:lvl w:ilvl="7" w:tplc="7408D98C">
      <w:start w:val="1"/>
      <w:numFmt w:val="bullet"/>
      <w:lvlText w:val="o"/>
      <w:lvlJc w:val="left"/>
      <w:pPr>
        <w:tabs>
          <w:tab w:val="num" w:pos="5760"/>
        </w:tabs>
        <w:ind w:left="5760" w:hanging="360"/>
      </w:pPr>
      <w:rPr>
        <w:rFonts w:ascii="Courier New" w:hAnsi="Courier New"/>
      </w:rPr>
    </w:lvl>
    <w:lvl w:ilvl="8" w:tplc="58A4F6C8">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BE044114">
      <w:start w:val="1"/>
      <w:numFmt w:val="bullet"/>
      <w:lvlText w:val=""/>
      <w:lvlJc w:val="left"/>
      <w:pPr>
        <w:ind w:left="720" w:hanging="360"/>
      </w:pPr>
      <w:rPr>
        <w:rFonts w:ascii="Symbol" w:hAnsi="Symbol"/>
      </w:rPr>
    </w:lvl>
    <w:lvl w:ilvl="1" w:tplc="12989DE8">
      <w:start w:val="1"/>
      <w:numFmt w:val="bullet"/>
      <w:lvlText w:val="o"/>
      <w:lvlJc w:val="left"/>
      <w:pPr>
        <w:tabs>
          <w:tab w:val="num" w:pos="1440"/>
        </w:tabs>
        <w:ind w:left="1440" w:hanging="360"/>
      </w:pPr>
      <w:rPr>
        <w:rFonts w:ascii="Courier New" w:hAnsi="Courier New"/>
      </w:rPr>
    </w:lvl>
    <w:lvl w:ilvl="2" w:tplc="68D087EA">
      <w:start w:val="1"/>
      <w:numFmt w:val="bullet"/>
      <w:lvlText w:val=""/>
      <w:lvlJc w:val="left"/>
      <w:pPr>
        <w:tabs>
          <w:tab w:val="num" w:pos="2160"/>
        </w:tabs>
        <w:ind w:left="2160" w:hanging="360"/>
      </w:pPr>
      <w:rPr>
        <w:rFonts w:ascii="Wingdings" w:hAnsi="Wingdings"/>
      </w:rPr>
    </w:lvl>
    <w:lvl w:ilvl="3" w:tplc="B390457C">
      <w:start w:val="1"/>
      <w:numFmt w:val="bullet"/>
      <w:lvlText w:val=""/>
      <w:lvlJc w:val="left"/>
      <w:pPr>
        <w:tabs>
          <w:tab w:val="num" w:pos="2880"/>
        </w:tabs>
        <w:ind w:left="2880" w:hanging="360"/>
      </w:pPr>
      <w:rPr>
        <w:rFonts w:ascii="Symbol" w:hAnsi="Symbol"/>
      </w:rPr>
    </w:lvl>
    <w:lvl w:ilvl="4" w:tplc="2D8E1D32">
      <w:start w:val="1"/>
      <w:numFmt w:val="bullet"/>
      <w:lvlText w:val="o"/>
      <w:lvlJc w:val="left"/>
      <w:pPr>
        <w:tabs>
          <w:tab w:val="num" w:pos="3600"/>
        </w:tabs>
        <w:ind w:left="3600" w:hanging="360"/>
      </w:pPr>
      <w:rPr>
        <w:rFonts w:ascii="Courier New" w:hAnsi="Courier New"/>
      </w:rPr>
    </w:lvl>
    <w:lvl w:ilvl="5" w:tplc="8C5293A4">
      <w:start w:val="1"/>
      <w:numFmt w:val="bullet"/>
      <w:lvlText w:val=""/>
      <w:lvlJc w:val="left"/>
      <w:pPr>
        <w:tabs>
          <w:tab w:val="num" w:pos="4320"/>
        </w:tabs>
        <w:ind w:left="4320" w:hanging="360"/>
      </w:pPr>
      <w:rPr>
        <w:rFonts w:ascii="Wingdings" w:hAnsi="Wingdings"/>
      </w:rPr>
    </w:lvl>
    <w:lvl w:ilvl="6" w:tplc="618EE5B4">
      <w:start w:val="1"/>
      <w:numFmt w:val="bullet"/>
      <w:lvlText w:val=""/>
      <w:lvlJc w:val="left"/>
      <w:pPr>
        <w:tabs>
          <w:tab w:val="num" w:pos="5040"/>
        </w:tabs>
        <w:ind w:left="5040" w:hanging="360"/>
      </w:pPr>
      <w:rPr>
        <w:rFonts w:ascii="Symbol" w:hAnsi="Symbol"/>
      </w:rPr>
    </w:lvl>
    <w:lvl w:ilvl="7" w:tplc="BC0A85EE">
      <w:start w:val="1"/>
      <w:numFmt w:val="bullet"/>
      <w:lvlText w:val="o"/>
      <w:lvlJc w:val="left"/>
      <w:pPr>
        <w:tabs>
          <w:tab w:val="num" w:pos="5760"/>
        </w:tabs>
        <w:ind w:left="5760" w:hanging="360"/>
      </w:pPr>
      <w:rPr>
        <w:rFonts w:ascii="Courier New" w:hAnsi="Courier New"/>
      </w:rPr>
    </w:lvl>
    <w:lvl w:ilvl="8" w:tplc="5BDEDDB4">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7BDADF64">
      <w:start w:val="1"/>
      <w:numFmt w:val="bullet"/>
      <w:lvlText w:val=""/>
      <w:lvlJc w:val="left"/>
      <w:pPr>
        <w:ind w:left="720" w:hanging="360"/>
      </w:pPr>
      <w:rPr>
        <w:rFonts w:ascii="Symbol" w:hAnsi="Symbol"/>
      </w:rPr>
    </w:lvl>
    <w:lvl w:ilvl="1" w:tplc="B49689A4">
      <w:start w:val="1"/>
      <w:numFmt w:val="bullet"/>
      <w:lvlText w:val="o"/>
      <w:lvlJc w:val="left"/>
      <w:pPr>
        <w:tabs>
          <w:tab w:val="num" w:pos="1440"/>
        </w:tabs>
        <w:ind w:left="1440" w:hanging="360"/>
      </w:pPr>
      <w:rPr>
        <w:rFonts w:ascii="Courier New" w:hAnsi="Courier New"/>
      </w:rPr>
    </w:lvl>
    <w:lvl w:ilvl="2" w:tplc="DF9C0782">
      <w:start w:val="1"/>
      <w:numFmt w:val="bullet"/>
      <w:lvlText w:val=""/>
      <w:lvlJc w:val="left"/>
      <w:pPr>
        <w:tabs>
          <w:tab w:val="num" w:pos="2160"/>
        </w:tabs>
        <w:ind w:left="2160" w:hanging="360"/>
      </w:pPr>
      <w:rPr>
        <w:rFonts w:ascii="Wingdings" w:hAnsi="Wingdings"/>
      </w:rPr>
    </w:lvl>
    <w:lvl w:ilvl="3" w:tplc="70C8468C">
      <w:start w:val="1"/>
      <w:numFmt w:val="bullet"/>
      <w:lvlText w:val=""/>
      <w:lvlJc w:val="left"/>
      <w:pPr>
        <w:tabs>
          <w:tab w:val="num" w:pos="2880"/>
        </w:tabs>
        <w:ind w:left="2880" w:hanging="360"/>
      </w:pPr>
      <w:rPr>
        <w:rFonts w:ascii="Symbol" w:hAnsi="Symbol"/>
      </w:rPr>
    </w:lvl>
    <w:lvl w:ilvl="4" w:tplc="D4507F44">
      <w:start w:val="1"/>
      <w:numFmt w:val="bullet"/>
      <w:lvlText w:val="o"/>
      <w:lvlJc w:val="left"/>
      <w:pPr>
        <w:tabs>
          <w:tab w:val="num" w:pos="3600"/>
        </w:tabs>
        <w:ind w:left="3600" w:hanging="360"/>
      </w:pPr>
      <w:rPr>
        <w:rFonts w:ascii="Courier New" w:hAnsi="Courier New"/>
      </w:rPr>
    </w:lvl>
    <w:lvl w:ilvl="5" w:tplc="BD1C7A98">
      <w:start w:val="1"/>
      <w:numFmt w:val="bullet"/>
      <w:lvlText w:val=""/>
      <w:lvlJc w:val="left"/>
      <w:pPr>
        <w:tabs>
          <w:tab w:val="num" w:pos="4320"/>
        </w:tabs>
        <w:ind w:left="4320" w:hanging="360"/>
      </w:pPr>
      <w:rPr>
        <w:rFonts w:ascii="Wingdings" w:hAnsi="Wingdings"/>
      </w:rPr>
    </w:lvl>
    <w:lvl w:ilvl="6" w:tplc="930228EA">
      <w:start w:val="1"/>
      <w:numFmt w:val="bullet"/>
      <w:lvlText w:val=""/>
      <w:lvlJc w:val="left"/>
      <w:pPr>
        <w:tabs>
          <w:tab w:val="num" w:pos="5040"/>
        </w:tabs>
        <w:ind w:left="5040" w:hanging="360"/>
      </w:pPr>
      <w:rPr>
        <w:rFonts w:ascii="Symbol" w:hAnsi="Symbol"/>
      </w:rPr>
    </w:lvl>
    <w:lvl w:ilvl="7" w:tplc="DC2AE2E0">
      <w:start w:val="1"/>
      <w:numFmt w:val="bullet"/>
      <w:lvlText w:val="o"/>
      <w:lvlJc w:val="left"/>
      <w:pPr>
        <w:tabs>
          <w:tab w:val="num" w:pos="5760"/>
        </w:tabs>
        <w:ind w:left="5760" w:hanging="360"/>
      </w:pPr>
      <w:rPr>
        <w:rFonts w:ascii="Courier New" w:hAnsi="Courier New"/>
      </w:rPr>
    </w:lvl>
    <w:lvl w:ilvl="8" w:tplc="5AC48794">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B79205E8">
      <w:start w:val="1"/>
      <w:numFmt w:val="bullet"/>
      <w:lvlText w:val=""/>
      <w:lvlJc w:val="left"/>
      <w:pPr>
        <w:ind w:left="720" w:hanging="360"/>
      </w:pPr>
      <w:rPr>
        <w:rFonts w:ascii="Symbol" w:hAnsi="Symbol"/>
      </w:rPr>
    </w:lvl>
    <w:lvl w:ilvl="1" w:tplc="FCF881B0">
      <w:start w:val="1"/>
      <w:numFmt w:val="bullet"/>
      <w:lvlText w:val="o"/>
      <w:lvlJc w:val="left"/>
      <w:pPr>
        <w:tabs>
          <w:tab w:val="num" w:pos="1440"/>
        </w:tabs>
        <w:ind w:left="1440" w:hanging="360"/>
      </w:pPr>
      <w:rPr>
        <w:rFonts w:ascii="Courier New" w:hAnsi="Courier New"/>
      </w:rPr>
    </w:lvl>
    <w:lvl w:ilvl="2" w:tplc="D198694C">
      <w:start w:val="1"/>
      <w:numFmt w:val="bullet"/>
      <w:lvlText w:val=""/>
      <w:lvlJc w:val="left"/>
      <w:pPr>
        <w:tabs>
          <w:tab w:val="num" w:pos="2160"/>
        </w:tabs>
        <w:ind w:left="2160" w:hanging="360"/>
      </w:pPr>
      <w:rPr>
        <w:rFonts w:ascii="Wingdings" w:hAnsi="Wingdings"/>
      </w:rPr>
    </w:lvl>
    <w:lvl w:ilvl="3" w:tplc="214CC9F8">
      <w:start w:val="1"/>
      <w:numFmt w:val="bullet"/>
      <w:lvlText w:val=""/>
      <w:lvlJc w:val="left"/>
      <w:pPr>
        <w:tabs>
          <w:tab w:val="num" w:pos="2880"/>
        </w:tabs>
        <w:ind w:left="2880" w:hanging="360"/>
      </w:pPr>
      <w:rPr>
        <w:rFonts w:ascii="Symbol" w:hAnsi="Symbol"/>
      </w:rPr>
    </w:lvl>
    <w:lvl w:ilvl="4" w:tplc="BB7C0A0A">
      <w:start w:val="1"/>
      <w:numFmt w:val="bullet"/>
      <w:lvlText w:val="o"/>
      <w:lvlJc w:val="left"/>
      <w:pPr>
        <w:tabs>
          <w:tab w:val="num" w:pos="3600"/>
        </w:tabs>
        <w:ind w:left="3600" w:hanging="360"/>
      </w:pPr>
      <w:rPr>
        <w:rFonts w:ascii="Courier New" w:hAnsi="Courier New"/>
      </w:rPr>
    </w:lvl>
    <w:lvl w:ilvl="5" w:tplc="A0685186">
      <w:start w:val="1"/>
      <w:numFmt w:val="bullet"/>
      <w:lvlText w:val=""/>
      <w:lvlJc w:val="left"/>
      <w:pPr>
        <w:tabs>
          <w:tab w:val="num" w:pos="4320"/>
        </w:tabs>
        <w:ind w:left="4320" w:hanging="360"/>
      </w:pPr>
      <w:rPr>
        <w:rFonts w:ascii="Wingdings" w:hAnsi="Wingdings"/>
      </w:rPr>
    </w:lvl>
    <w:lvl w:ilvl="6" w:tplc="E72E76C6">
      <w:start w:val="1"/>
      <w:numFmt w:val="bullet"/>
      <w:lvlText w:val=""/>
      <w:lvlJc w:val="left"/>
      <w:pPr>
        <w:tabs>
          <w:tab w:val="num" w:pos="5040"/>
        </w:tabs>
        <w:ind w:left="5040" w:hanging="360"/>
      </w:pPr>
      <w:rPr>
        <w:rFonts w:ascii="Symbol" w:hAnsi="Symbol"/>
      </w:rPr>
    </w:lvl>
    <w:lvl w:ilvl="7" w:tplc="F65A6526">
      <w:start w:val="1"/>
      <w:numFmt w:val="bullet"/>
      <w:lvlText w:val="o"/>
      <w:lvlJc w:val="left"/>
      <w:pPr>
        <w:tabs>
          <w:tab w:val="num" w:pos="5760"/>
        </w:tabs>
        <w:ind w:left="5760" w:hanging="360"/>
      </w:pPr>
      <w:rPr>
        <w:rFonts w:ascii="Courier New" w:hAnsi="Courier New"/>
      </w:rPr>
    </w:lvl>
    <w:lvl w:ilvl="8" w:tplc="DBA26564">
      <w:start w:val="1"/>
      <w:numFmt w:val="bullet"/>
      <w:lvlText w:val=""/>
      <w:lvlJc w:val="left"/>
      <w:pPr>
        <w:tabs>
          <w:tab w:val="num" w:pos="6480"/>
        </w:tabs>
        <w:ind w:left="6480" w:hanging="360"/>
      </w:pPr>
      <w:rPr>
        <w:rFonts w:ascii="Wingdings" w:hAnsi="Wingdings"/>
      </w:rPr>
    </w:lvl>
  </w:abstractNum>
  <w:num w:numId="1" w16cid:durableId="1509828117">
    <w:abstractNumId w:val="10"/>
  </w:num>
  <w:num w:numId="2" w16cid:durableId="2040815894">
    <w:abstractNumId w:val="8"/>
  </w:num>
  <w:num w:numId="3" w16cid:durableId="1606496828">
    <w:abstractNumId w:val="7"/>
  </w:num>
  <w:num w:numId="4" w16cid:durableId="412288701">
    <w:abstractNumId w:val="6"/>
  </w:num>
  <w:num w:numId="5" w16cid:durableId="407270026">
    <w:abstractNumId w:val="5"/>
  </w:num>
  <w:num w:numId="6" w16cid:durableId="1991328178">
    <w:abstractNumId w:val="9"/>
  </w:num>
  <w:num w:numId="7" w16cid:durableId="851992737">
    <w:abstractNumId w:val="4"/>
  </w:num>
  <w:num w:numId="8" w16cid:durableId="1867980518">
    <w:abstractNumId w:val="3"/>
  </w:num>
  <w:num w:numId="9" w16cid:durableId="560530571">
    <w:abstractNumId w:val="2"/>
  </w:num>
  <w:num w:numId="10" w16cid:durableId="1671373265">
    <w:abstractNumId w:val="1"/>
  </w:num>
  <w:num w:numId="11" w16cid:durableId="174225528">
    <w:abstractNumId w:val="0"/>
  </w:num>
  <w:num w:numId="12" w16cid:durableId="1699233041">
    <w:abstractNumId w:val="11"/>
  </w:num>
  <w:num w:numId="13" w16cid:durableId="1159543451">
    <w:abstractNumId w:val="16"/>
  </w:num>
  <w:num w:numId="14" w16cid:durableId="1684285251">
    <w:abstractNumId w:val="14"/>
  </w:num>
  <w:num w:numId="15" w16cid:durableId="70856775">
    <w:abstractNumId w:val="15"/>
  </w:num>
  <w:num w:numId="16" w16cid:durableId="207571048">
    <w:abstractNumId w:val="12"/>
  </w:num>
  <w:num w:numId="17" w16cid:durableId="1192844118">
    <w:abstractNumId w:val="13"/>
  </w:num>
  <w:num w:numId="18" w16cid:durableId="1199854331">
    <w:abstractNumId w:val="17"/>
  </w:num>
  <w:num w:numId="19" w16cid:durableId="621158934">
    <w:abstractNumId w:val="18"/>
  </w:num>
  <w:num w:numId="20" w16cid:durableId="1012995853">
    <w:abstractNumId w:val="19"/>
  </w:num>
  <w:num w:numId="21" w16cid:durableId="52314806">
    <w:abstractNumId w:val="20"/>
  </w:num>
  <w:num w:numId="22" w16cid:durableId="2040159691">
    <w:abstractNumId w:val="21"/>
  </w:num>
  <w:num w:numId="23" w16cid:durableId="4261214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7C"/>
    <w:rsid w:val="00034598"/>
    <w:rsid w:val="00147708"/>
    <w:rsid w:val="0059431F"/>
    <w:rsid w:val="006C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F39B"/>
  <w15:docId w15:val="{E2A58B1E-1AB9-463D-B158-19241422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3.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1289</Words>
  <Characters>7349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Ann Grant</cp:lastModifiedBy>
  <cp:revision>2</cp:revision>
  <dcterms:created xsi:type="dcterms:W3CDTF">2023-02-09T05:14:00Z</dcterms:created>
  <dcterms:modified xsi:type="dcterms:W3CDTF">2023-02-09T05:14:00Z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